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b/>
          <w:sz w:val="36"/>
        </w:rPr>
      </w:pPr>
    </w:p>
    <w:p>
      <w:pPr>
        <w:spacing w:before="120" w:after="120" w:line="220" w:lineRule="atLeast"/>
        <w:jc w:val="center"/>
        <w:rPr>
          <w:rFonts w:ascii="宋体" w:hAnsi="宋体"/>
          <w:b/>
          <w:sz w:val="48"/>
          <w:szCs w:val="40"/>
        </w:rPr>
      </w:pPr>
      <w:r>
        <w:rPr>
          <w:rFonts w:hint="eastAsia" w:ascii="宋体" w:hAnsi="宋体"/>
          <w:b/>
          <w:sz w:val="48"/>
          <w:szCs w:val="40"/>
        </w:rPr>
        <w:t>佛山建筑领域分账系统</w:t>
      </w:r>
    </w:p>
    <w:p>
      <w:pPr>
        <w:spacing w:before="120" w:after="120" w:line="220" w:lineRule="atLeast"/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使用说明书（企业版）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  <w:jc w:val="center"/>
        <w:rPr>
          <w:sz w:val="28"/>
          <w:szCs w:val="24"/>
        </w:rPr>
      </w:pPr>
      <w:r>
        <w:rPr>
          <w:rFonts w:hint="eastAsia"/>
          <w:sz w:val="28"/>
          <w:szCs w:val="24"/>
        </w:rPr>
        <w:t>广东省佛山分行</w:t>
      </w:r>
    </w:p>
    <w:p>
      <w:pPr>
        <w:spacing w:before="120" w:after="120" w:line="220" w:lineRule="atLeast"/>
        <w:jc w:val="center"/>
        <w:rPr>
          <w:sz w:val="28"/>
          <w:szCs w:val="24"/>
        </w:rPr>
      </w:pPr>
      <w:r>
        <w:rPr>
          <w:rFonts w:hint="eastAsia"/>
          <w:sz w:val="28"/>
          <w:szCs w:val="24"/>
        </w:rPr>
        <w:t>2023年08月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adjustRightInd/>
        <w:snapToGrid/>
        <w:spacing w:before="0" w:beforeLines="0" w:after="0" w:afterLines="0"/>
      </w:pPr>
      <w:r>
        <w:br w:type="page"/>
      </w:r>
    </w:p>
    <w:p>
      <w:pPr>
        <w:adjustRightInd/>
        <w:snapToGrid/>
        <w:spacing w:before="0" w:beforeLines="0" w:after="0" w:afterLines="0"/>
      </w:pPr>
    </w:p>
    <w:sdt>
      <w:sdtPr>
        <w:rPr>
          <w:rFonts w:eastAsiaTheme="minorEastAsia"/>
          <w:lang w:val="zh-CN"/>
        </w:rPr>
        <w:id w:val="-1307247657"/>
        <w:docPartObj>
          <w:docPartGallery w:val="Table of Contents"/>
          <w:docPartUnique/>
        </w:docPartObj>
      </w:sdtPr>
      <w:sdtEndPr>
        <w:rPr>
          <w:rFonts w:eastAsia="宋体"/>
          <w:b/>
          <w:bCs/>
          <w:lang w:val="zh-CN"/>
        </w:rPr>
      </w:sdtEndPr>
      <w:sdtContent>
        <w:p>
          <w:pPr>
            <w:spacing w:before="0" w:beforeLines="0" w:after="0" w:afterLines="0" w:line="240" w:lineRule="auto"/>
            <w:jc w:val="center"/>
          </w:pPr>
          <w:r>
            <w:rPr>
              <w:rFonts w:ascii="宋体" w:hAnsi="宋体"/>
              <w:sz w:val="21"/>
            </w:rPr>
            <w:t>目录</w:t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"_Toc56084019" </w:instrText>
          </w:r>
          <w:r>
            <w:fldChar w:fldCharType="separate"/>
          </w:r>
          <w:r>
            <w:rPr>
              <w:rStyle w:val="15"/>
            </w:rPr>
            <w:t>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系统架构</w:t>
          </w:r>
          <w:r>
            <w:tab/>
          </w:r>
          <w:r>
            <w:fldChar w:fldCharType="begin"/>
          </w:r>
          <w:r>
            <w:instrText xml:space="preserve"> PAGEREF _Toc56084019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"_Toc56084020"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_Toc56084020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"_Toc56084021"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_Toc56084021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"_Toc56084022"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单位用户</w:t>
          </w:r>
          <w:r>
            <w:tab/>
          </w:r>
          <w:r>
            <w:fldChar w:fldCharType="begin"/>
          </w:r>
          <w:r>
            <w:instrText xml:space="preserve"> PAGEREF _Toc56084022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"_Toc56084023"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2.3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系统地址</w:t>
          </w:r>
          <w:r>
            <w:tab/>
          </w:r>
          <w:r>
            <w:fldChar w:fldCharType="begin"/>
          </w:r>
          <w:r>
            <w:instrText xml:space="preserve"> PAGEREF _Toc56084023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"_Toc56084024"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系统功能描述</w:t>
          </w:r>
          <w:r>
            <w:tab/>
          </w:r>
          <w:r>
            <w:fldChar w:fldCharType="begin"/>
          </w:r>
          <w:r>
            <w:instrText xml:space="preserve"> PAGEREF _Toc56084024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"_Toc56084025"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_Toc56084025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"_Toc56084026"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3.1.1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_Toc56084026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"_Toc56084027"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3.1.2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_Toc56084027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"_Toc56084028"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3.1.3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支付安全与接收短信</w:t>
          </w:r>
          <w:r>
            <w:tab/>
          </w:r>
          <w:r>
            <w:fldChar w:fldCharType="begin"/>
          </w:r>
          <w:r>
            <w:instrText xml:space="preserve"> PAGEREF _Toc56084028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"_Toc56084029"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_Toc56084029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"_Toc56084030"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3.2.1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_Toc56084030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"_Toc56084031"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3.2.2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_Toc56084031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"_Toc56084032"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3.2.3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_Toc56084032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"_Toc56084033"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工程管理</w:t>
          </w:r>
          <w:r>
            <w:tab/>
          </w:r>
          <w:r>
            <w:fldChar w:fldCharType="begin"/>
          </w:r>
          <w:r>
            <w:instrText xml:space="preserve"> PAGEREF _Toc56084033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"_Toc56084034"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工程管理</w:t>
          </w:r>
          <w:r>
            <w:tab/>
          </w:r>
          <w:r>
            <w:fldChar w:fldCharType="begin"/>
          </w:r>
          <w:r>
            <w:instrText xml:space="preserve"> PAGEREF _Toc56084034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"_Toc56084035"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正常开户</w:t>
          </w:r>
          <w:r>
            <w:tab/>
          </w:r>
          <w:r>
            <w:fldChar w:fldCharType="begin"/>
          </w:r>
          <w:r>
            <w:instrText xml:space="preserve"> PAGEREF _Toc56084035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"_Toc56084036"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正常销户</w:t>
          </w:r>
          <w:r>
            <w:tab/>
          </w:r>
          <w:r>
            <w:fldChar w:fldCharType="begin"/>
          </w:r>
          <w:r>
            <w:instrText xml:space="preserve"> PAGEREF _Toc56084036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"_Toc56084037"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打印账户管理协议</w:t>
          </w:r>
          <w:r>
            <w:tab/>
          </w:r>
          <w:r>
            <w:fldChar w:fldCharType="begin"/>
          </w:r>
          <w:r>
            <w:instrText xml:space="preserve"> PAGEREF _Toc56084037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"_Toc56084038"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3.3.5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账户活期明细</w:t>
          </w:r>
          <w:r>
            <w:tab/>
          </w:r>
          <w:r>
            <w:fldChar w:fldCharType="begin"/>
          </w:r>
          <w:r>
            <w:instrText xml:space="preserve"> PAGEREF _Toc56084038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"_Toc56084039"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工人工资管理</w:t>
          </w:r>
          <w:r>
            <w:tab/>
          </w:r>
          <w:r>
            <w:fldChar w:fldCharType="begin"/>
          </w:r>
          <w:r>
            <w:instrText xml:space="preserve"> PAGEREF _Toc56084039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"_Toc56084040"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3.4.1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待发工资</w:t>
          </w:r>
          <w:r>
            <w:tab/>
          </w:r>
          <w:r>
            <w:fldChar w:fldCharType="begin"/>
          </w:r>
          <w:r>
            <w:instrText xml:space="preserve"> PAGEREF _Toc56084040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"_Toc56084041"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3.4.2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工资发放记录</w:t>
          </w:r>
          <w:r>
            <w:tab/>
          </w:r>
          <w:r>
            <w:fldChar w:fldCharType="begin"/>
          </w:r>
          <w:r>
            <w:instrText xml:space="preserve"> PAGEREF _Toc56084041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26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"_Toc56084042" </w:instrText>
          </w:r>
          <w:r>
            <w:fldChar w:fldCharType="separate"/>
          </w:r>
          <w:r>
            <w:rPr>
              <w:rStyle w:val="15"/>
              <w:rFonts w:ascii="宋体" w:hAnsi="宋体"/>
            </w:rPr>
            <w:t>3.4.3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工资发放明细表</w:t>
          </w:r>
          <w:r>
            <w:tab/>
          </w:r>
          <w:r>
            <w:fldChar w:fldCharType="begin"/>
          </w:r>
          <w:r>
            <w:instrText xml:space="preserve"> PAGEREF _Toc56084042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440"/>
              <w:tab w:val="right" w:leader="dot" w:pos="8296"/>
            </w:tabs>
            <w:spacing w:before="120" w:after="120"/>
            <w:rPr>
              <w:rFonts w:eastAsiaTheme="minorEastAsia"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"_Toc56084043" </w:instrText>
          </w:r>
          <w:r>
            <w:fldChar w:fldCharType="separate"/>
          </w:r>
          <w:r>
            <w:rPr>
              <w:rStyle w:val="15"/>
            </w:rPr>
            <w:t>4</w:t>
          </w:r>
          <w:r>
            <w:rPr>
              <w:rFonts w:eastAsiaTheme="minorEastAsia"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单位用户角色主要功能描述</w:t>
          </w:r>
          <w:r>
            <w:tab/>
          </w:r>
          <w:r>
            <w:fldChar w:fldCharType="begin"/>
          </w:r>
          <w:r>
            <w:instrText xml:space="preserve"> PAGEREF _Toc56084043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spacing w:before="120" w:after="120"/>
          </w:pPr>
          <w:r>
            <w:rPr>
              <w:bCs/>
              <w:lang w:val="zh-CN"/>
            </w:rPr>
            <w:fldChar w:fldCharType="end"/>
          </w:r>
        </w:p>
        <w:p>
          <w:pPr>
            <w:spacing w:before="120" w:after="120"/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708" w:footer="708" w:gutter="0"/>
              <w:pgNumType w:fmt="numberInDash" w:start="1"/>
              <w:cols w:space="708" w:num="1"/>
              <w:titlePg/>
              <w:docGrid w:linePitch="360" w:charSpace="0"/>
            </w:sectPr>
          </w:pPr>
        </w:p>
      </w:sdtContent>
    </w:sdt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410"/>
        <w:gridCol w:w="4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版本号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更新时间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更细内容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V1.01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2020年05月12日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1、用户管理，工程管理，工人工资管理功能更新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V1.02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2020年05月18日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1、更新功能图片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V1.03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2020年07月28日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1、更新工资代发、更新系统功能图片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V1.04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2021年04月15日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1、更新系统访问地址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V1.06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2022年06月16日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1、更新轨道交通局接口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V1.07</w:t>
            </w:r>
          </w:p>
        </w:tc>
        <w:tc>
          <w:tcPr>
            <w:tcW w:w="2410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2023年04月10日</w:t>
            </w:r>
          </w:p>
        </w:tc>
        <w:tc>
          <w:tcPr>
            <w:tcW w:w="4586" w:type="dxa"/>
          </w:tcPr>
          <w:p>
            <w:pPr>
              <w:adjustRightInd/>
              <w:snapToGrid/>
              <w:spacing w:before="120" w:after="120" w:line="220" w:lineRule="atLeast"/>
            </w:pPr>
            <w:r>
              <w:rPr>
                <w:rFonts w:hint="eastAsia"/>
              </w:rPr>
              <w:t>1、文档更新</w:t>
            </w:r>
          </w:p>
        </w:tc>
      </w:tr>
    </w:tbl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adjustRightInd/>
        <w:snapToGrid/>
        <w:spacing w:before="120" w:after="120" w:line="220" w:lineRule="atLeast"/>
      </w:pPr>
    </w:p>
    <w:p>
      <w:pPr>
        <w:pStyle w:val="2"/>
        <w:numPr>
          <w:ilvl w:val="0"/>
          <w:numId w:val="1"/>
        </w:numPr>
        <w:spacing w:before="120" w:after="120"/>
      </w:pPr>
      <w:bookmarkStart w:id="0" w:name="_Toc56084019"/>
      <w:r>
        <w:rPr>
          <w:rFonts w:hint="eastAsia"/>
        </w:rPr>
        <w:t>系统架构</w:t>
      </w:r>
      <w:bookmarkEnd w:id="0"/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24949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20" w:after="120"/>
      </w:pPr>
      <w:bookmarkStart w:id="1" w:name="_Toc56084020"/>
      <w:r>
        <w:rPr>
          <w:rFonts w:hint="eastAsia"/>
        </w:rPr>
        <w:t>系统介绍</w:t>
      </w:r>
      <w:bookmarkEnd w:id="1"/>
    </w:p>
    <w:p>
      <w:pPr>
        <w:pStyle w:val="3"/>
        <w:numPr>
          <w:ilvl w:val="1"/>
          <w:numId w:val="1"/>
        </w:numPr>
        <w:spacing w:before="120" w:after="120"/>
      </w:pPr>
      <w:bookmarkStart w:id="2" w:name="_Toc56084021"/>
      <w:r>
        <w:rPr>
          <w:rFonts w:hint="eastAsia"/>
        </w:rPr>
        <w:t>系统功能描述</w:t>
      </w:r>
      <w:bookmarkEnd w:id="2"/>
    </w:p>
    <w:p>
      <w:pPr>
        <w:spacing w:before="120" w:after="120"/>
        <w:ind w:firstLine="424" w:firstLineChars="177"/>
      </w:pPr>
      <w:r>
        <w:rPr>
          <w:rFonts w:hint="eastAsia"/>
        </w:rPr>
        <w:t>本系统用于开放给企业用户使用。</w:t>
      </w:r>
    </w:p>
    <w:p>
      <w:pPr>
        <w:spacing w:before="120" w:after="120"/>
        <w:ind w:firstLine="424" w:firstLineChars="177"/>
      </w:pPr>
      <w:r>
        <w:rPr>
          <w:rFonts w:hint="eastAsia"/>
        </w:rPr>
        <w:t>本系统的功能主要包括工人工资发放审核以及对单位用户的管理等。</w:t>
      </w:r>
    </w:p>
    <w:p>
      <w:pPr>
        <w:spacing w:before="120" w:after="120"/>
        <w:ind w:firstLine="424" w:firstLineChars="177"/>
      </w:pPr>
      <w:r>
        <w:rPr>
          <w:rFonts w:hint="eastAsia"/>
        </w:rPr>
        <w:t>目前系统对接</w:t>
      </w:r>
      <w:r>
        <w:t>佛山市住建局实名制平台</w:t>
      </w:r>
      <w:r>
        <w:rPr>
          <w:rFonts w:hint="eastAsia"/>
        </w:rPr>
        <w:t>和轨道交通局的工程。</w:t>
      </w:r>
    </w:p>
    <w:p>
      <w:pPr>
        <w:pStyle w:val="3"/>
        <w:numPr>
          <w:ilvl w:val="1"/>
          <w:numId w:val="1"/>
        </w:numPr>
        <w:spacing w:before="120" w:after="120"/>
      </w:pPr>
      <w:bookmarkStart w:id="3" w:name="_Toc56084022"/>
      <w:r>
        <w:rPr>
          <w:rFonts w:hint="eastAsia"/>
        </w:rPr>
        <w:t>单位用户</w:t>
      </w:r>
      <w:bookmarkEnd w:id="3"/>
    </w:p>
    <w:p>
      <w:pPr>
        <w:spacing w:before="120" w:after="120"/>
        <w:ind w:firstLine="424" w:firstLineChars="177"/>
      </w:pPr>
      <w:r>
        <w:rPr>
          <w:rFonts w:hint="eastAsia"/>
        </w:rPr>
        <w:t>单位用户分为企业主帐号和企业子帐号（工程用户）。</w:t>
      </w:r>
    </w:p>
    <w:p>
      <w:pPr>
        <w:spacing w:before="120" w:after="120"/>
        <w:ind w:firstLine="426" w:firstLineChars="177"/>
      </w:pPr>
      <w:r>
        <w:rPr>
          <w:rFonts w:hint="eastAsia"/>
          <w:b/>
        </w:rPr>
        <w:t>企业主帐号：</w:t>
      </w:r>
      <w:r>
        <w:rPr>
          <w:rFonts w:hint="eastAsia"/>
        </w:rPr>
        <w:t>通过登录界面上的注册功能注册企业主帐号。</w:t>
      </w:r>
    </w:p>
    <w:p>
      <w:pPr>
        <w:spacing w:before="120" w:after="120"/>
        <w:ind w:firstLine="424" w:firstLineChars="177"/>
      </w:pPr>
      <w:r>
        <w:rPr>
          <w:rFonts w:hint="eastAsia"/>
        </w:rPr>
        <w:t>企业主帐号可以创建工程、创建企业子帐号、为工程分配用户（企业子帐号），并且为企业子帐号分配角色。</w:t>
      </w:r>
    </w:p>
    <w:p>
      <w:pPr>
        <w:spacing w:before="120" w:after="120"/>
        <w:ind w:firstLine="426" w:firstLineChars="177"/>
      </w:pPr>
      <w:r>
        <w:rPr>
          <w:rFonts w:hint="eastAsia"/>
          <w:b/>
        </w:rPr>
        <w:t>企业子帐号（工程用户）：</w:t>
      </w:r>
      <w:r>
        <w:rPr>
          <w:rFonts w:hint="eastAsia"/>
        </w:rPr>
        <w:t>由主帐号登录后在用户管理里创建的帐号，企业子帐号有劳资专员角色。</w:t>
      </w:r>
    </w:p>
    <w:p>
      <w:pPr>
        <w:spacing w:before="120" w:after="120"/>
        <w:ind w:firstLine="424" w:firstLineChars="177"/>
      </w:pPr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企业子账号用于管理企业下的工程（一个企业子帐号可以管理多个工程），可以开立工资专用账户、撤销工资专用账户、工人工资发放审核;</w:t>
      </w:r>
    </w:p>
    <w:p>
      <w:pPr>
        <w:pStyle w:val="3"/>
        <w:numPr>
          <w:ilvl w:val="1"/>
          <w:numId w:val="1"/>
        </w:numPr>
        <w:spacing w:before="120" w:after="120"/>
      </w:pPr>
      <w:bookmarkStart w:id="4" w:name="_Toc56084023"/>
      <w:r>
        <w:rPr>
          <w:rFonts w:hint="eastAsia"/>
        </w:rPr>
        <w:t>系统地址</w:t>
      </w:r>
      <w:bookmarkEnd w:id="4"/>
    </w:p>
    <w:p>
      <w:pPr>
        <w:spacing w:before="120" w:after="120"/>
        <w:ind w:firstLine="424" w:firstLineChars="177"/>
      </w:pPr>
      <w:r>
        <w:rPr>
          <w:rFonts w:hint="eastAsia"/>
        </w:rPr>
        <w:t>系统的登录地址为：</w:t>
      </w:r>
      <w:r>
        <w:t>https://fs.grgzfz.com/</w:t>
      </w:r>
    </w:p>
    <w:p>
      <w:pPr>
        <w:spacing w:before="120" w:after="120"/>
      </w:pPr>
    </w:p>
    <w:p>
      <w:pPr>
        <w:pStyle w:val="2"/>
        <w:numPr>
          <w:ilvl w:val="0"/>
          <w:numId w:val="1"/>
        </w:numPr>
        <w:spacing w:before="120" w:after="120"/>
      </w:pPr>
      <w:bookmarkStart w:id="5" w:name="_Toc56084024"/>
      <w:r>
        <w:rPr>
          <w:rFonts w:hint="eastAsia"/>
        </w:rPr>
        <w:t>系统功能描述</w:t>
      </w:r>
      <w:bookmarkEnd w:id="5"/>
    </w:p>
    <w:p>
      <w:pPr>
        <w:pStyle w:val="3"/>
        <w:numPr>
          <w:ilvl w:val="1"/>
          <w:numId w:val="1"/>
        </w:numPr>
        <w:spacing w:before="120" w:after="120"/>
      </w:pPr>
      <w:bookmarkStart w:id="6" w:name="_Toc56084025"/>
      <w:r>
        <w:rPr>
          <w:rFonts w:hint="eastAsia"/>
        </w:rPr>
        <w:t>登录</w:t>
      </w:r>
      <w:bookmarkEnd w:id="6"/>
    </w:p>
    <w:p>
      <w:pPr>
        <w:pStyle w:val="4"/>
        <w:numPr>
          <w:ilvl w:val="2"/>
          <w:numId w:val="1"/>
        </w:numPr>
        <w:spacing w:before="120" w:after="120"/>
      </w:pPr>
      <w:bookmarkStart w:id="7" w:name="_Toc56084026"/>
      <w:r>
        <w:rPr>
          <w:rFonts w:hint="eastAsia"/>
        </w:rPr>
        <w:t>登录</w:t>
      </w:r>
      <w:bookmarkEnd w:id="7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登录</w:t>
      </w:r>
      <w:r>
        <w:rPr>
          <w:rFonts w:hint="eastAsia" w:ascii="宋体" w:hAnsi="宋体"/>
          <w:szCs w:val="24"/>
        </w:rPr>
        <w:t>（图4-1-1-1），单位主用户，企业子账号可以登录。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</w:t>
      </w:r>
      <w:r>
        <w:rPr>
          <w:rFonts w:ascii="宋体" w:hAnsi="宋体"/>
          <w:szCs w:val="24"/>
        </w:rPr>
        <w:t>：</w:t>
      </w:r>
      <w:r>
        <w:rPr>
          <w:rFonts w:hint="eastAsia" w:ascii="宋体" w:hAnsi="宋体"/>
          <w:szCs w:val="24"/>
        </w:rPr>
        <w:t>密码每天连续输入错误5次后，账号锁定，第二天才能再次登录。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3675" cy="245935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246" cy="245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  <w:jc w:val="center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（图4-1-1-1）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忘记密码</w:t>
      </w:r>
      <w:r>
        <w:rPr>
          <w:rFonts w:hint="eastAsia"/>
        </w:rPr>
        <w:t>（图4-1-1-</w:t>
      </w:r>
      <w:r>
        <w:t>2</w:t>
      </w:r>
      <w:r>
        <w:rPr>
          <w:rFonts w:hint="eastAsia"/>
        </w:rPr>
        <w:t>）：用户忘记密码时，可以通过找回密码入口重新设置密码。</w:t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23469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4608830" cy="2926080"/>
            <wp:effectExtent l="0" t="0" r="127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（图4-1-1-2）</w:t>
      </w:r>
    </w:p>
    <w:p>
      <w:pPr>
        <w:spacing w:before="120" w:after="120" w:line="220" w:lineRule="atLeast"/>
        <w:jc w:val="center"/>
      </w:pPr>
    </w:p>
    <w:p>
      <w:pPr>
        <w:pStyle w:val="4"/>
        <w:numPr>
          <w:ilvl w:val="2"/>
          <w:numId w:val="1"/>
        </w:numPr>
        <w:spacing w:before="120" w:after="120"/>
      </w:pPr>
      <w:bookmarkStart w:id="8" w:name="_Toc56084027"/>
      <w:r>
        <w:rPr>
          <w:rFonts w:hint="eastAsia"/>
        </w:rPr>
        <w:t>注册</w:t>
      </w:r>
      <w:bookmarkEnd w:id="8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注册</w:t>
      </w:r>
      <w:r>
        <w:rPr>
          <w:rFonts w:hint="eastAsia" w:ascii="宋体" w:hAnsi="宋体"/>
          <w:szCs w:val="24"/>
        </w:rPr>
        <w:t>（图4-1-2-1），注册企业账号。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备注：短信验证码必须正确，企业名称、工程编码在建委平台上一定要存在，才能注册。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需要同时填写工程编码和企业名称,如无法读取到工程名称,请在群内咨询;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如提示该企业已存在账号,拿到企业主账号后直接进行工程添加;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注：目前仅支持佛山市住建平台和轨道交通局平台的工程编码</w:t>
      </w:r>
    </w:p>
    <w:p>
      <w:pPr>
        <w:spacing w:before="120" w:after="120" w:line="220" w:lineRule="atLeast"/>
        <w:rPr>
          <w:rFonts w:ascii="宋体" w:hAnsi="宋体"/>
          <w:b/>
          <w:color w:val="FF0000"/>
          <w:szCs w:val="24"/>
        </w:rPr>
      </w:pPr>
      <w:r>
        <w:rPr>
          <w:rFonts w:hint="eastAsia" w:ascii="宋体" w:hAnsi="宋体"/>
          <w:b/>
          <w:color w:val="FF0000"/>
          <w:szCs w:val="24"/>
        </w:rPr>
        <w:t>注：根据工程类型，选择正确的行政区划；如工程为房建类，行政区划选择住建局（不同的行政区划，线下开户时，网点根据行政区划对专户进行不同的参数设置）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</w:p>
    <w:p>
      <w:pPr>
        <w:spacing w:before="120" w:after="120" w:line="220" w:lineRule="atLeast"/>
      </w:pPr>
      <w:r>
        <w:rPr>
          <w:rFonts w:hint="eastAsia"/>
        </w:rPr>
        <w:drawing>
          <wp:inline distT="0" distB="0" distL="114300" distR="114300">
            <wp:extent cx="5014595" cy="45269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046" cy="4527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（图4-1-2-1）</w:t>
      </w:r>
    </w:p>
    <w:p>
      <w:pPr>
        <w:pStyle w:val="4"/>
        <w:numPr>
          <w:ilvl w:val="2"/>
          <w:numId w:val="1"/>
        </w:numPr>
        <w:spacing w:before="120" w:after="120"/>
      </w:pPr>
      <w:bookmarkStart w:id="9" w:name="_Toc56084028"/>
      <w:r>
        <w:rPr>
          <w:rFonts w:hint="eastAsia"/>
        </w:rPr>
        <w:t>支付安全与接收短信</w:t>
      </w:r>
      <w:bookmarkEnd w:id="9"/>
    </w:p>
    <w:p>
      <w:pPr>
        <w:spacing w:before="120" w:after="120"/>
      </w:pPr>
      <w:r>
        <w:rPr>
          <w:rFonts w:hint="eastAsia"/>
          <w:b/>
          <w:bCs/>
        </w:rPr>
        <w:t>验证手机</w:t>
      </w:r>
      <w:r>
        <w:rPr>
          <w:rFonts w:hint="eastAsia" w:ascii="宋体" w:hAnsi="宋体"/>
          <w:szCs w:val="24"/>
        </w:rPr>
        <w:t>（图4-1-</w:t>
      </w:r>
      <w:r>
        <w:rPr>
          <w:rFonts w:ascii="宋体" w:hAnsi="宋体"/>
          <w:szCs w:val="24"/>
        </w:rPr>
        <w:t>2</w:t>
      </w:r>
      <w:r>
        <w:rPr>
          <w:rFonts w:hint="eastAsia" w:ascii="宋体" w:hAnsi="宋体"/>
          <w:szCs w:val="24"/>
        </w:rPr>
        <w:t>-1）</w:t>
      </w:r>
      <w:r>
        <w:rPr>
          <w:rFonts w:hint="eastAsia"/>
        </w:rPr>
        <w:t>：用于劳资专员支付操作或其他操作时获取短信验证码、及劳资专员接受待办信息的手机，</w:t>
      </w:r>
    </w:p>
    <w:p>
      <w:pPr>
        <w:spacing w:before="120" w:after="120"/>
        <w:rPr>
          <w:b/>
        </w:rPr>
      </w:pPr>
      <w:r>
        <w:rPr>
          <w:rFonts w:hint="eastAsia"/>
          <w:b/>
        </w:rPr>
        <w:t>备注：劳资专员首次登录或手机号被修改后需要验证手机。</w:t>
      </w:r>
    </w:p>
    <w:p>
      <w:pPr>
        <w:spacing w:before="120" w:after="120"/>
        <w:jc w:val="center"/>
      </w:pPr>
      <w:r>
        <w:rPr>
          <w:rFonts w:hint="eastAsia"/>
        </w:rPr>
        <w:drawing>
          <wp:inline distT="0" distB="0" distL="114300" distR="114300">
            <wp:extent cx="3733800" cy="1986280"/>
            <wp:effectExtent l="0" t="0" r="0" b="0"/>
            <wp:docPr id="6" name="图片 6" descr="财务员登录验证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财务员登录验证手机号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8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</w:t>
      </w:r>
      <w:r>
        <w:t>2</w:t>
      </w:r>
      <w:r>
        <w:rPr>
          <w:rFonts w:hint="eastAsia"/>
        </w:rPr>
        <w:t>-1）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支付密码</w:t>
      </w:r>
      <w:r>
        <w:rPr>
          <w:rFonts w:hint="eastAsia"/>
        </w:rPr>
        <w:t>（图4-1-</w:t>
      </w:r>
      <w:r>
        <w:t>2</w:t>
      </w:r>
      <w:r>
        <w:rPr>
          <w:rFonts w:hint="eastAsia"/>
        </w:rPr>
        <w:t>-2）:劳资专员首次登录验证手机后需要设置支付密码，用于工资发放审核操作。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4835525" cy="35115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（图4-1-</w:t>
      </w:r>
      <w:r>
        <w:t>2</w:t>
      </w:r>
      <w:r>
        <w:rPr>
          <w:rFonts w:hint="eastAsia"/>
        </w:rPr>
        <w:t>-2）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jc w:val="center"/>
      </w:pPr>
    </w:p>
    <w:p>
      <w:pPr>
        <w:spacing w:before="120" w:after="120"/>
      </w:pPr>
    </w:p>
    <w:p>
      <w:pPr>
        <w:pStyle w:val="3"/>
        <w:numPr>
          <w:ilvl w:val="1"/>
          <w:numId w:val="1"/>
        </w:numPr>
        <w:spacing w:before="120" w:after="120"/>
      </w:pPr>
      <w:bookmarkStart w:id="10" w:name="_Toc56084029"/>
      <w:r>
        <w:rPr>
          <w:rFonts w:hint="eastAsia"/>
        </w:rPr>
        <w:t>用户管理</w:t>
      </w:r>
      <w:bookmarkEnd w:id="10"/>
    </w:p>
    <w:p>
      <w:pPr>
        <w:pStyle w:val="4"/>
        <w:numPr>
          <w:ilvl w:val="2"/>
          <w:numId w:val="1"/>
        </w:numPr>
        <w:spacing w:before="120" w:after="120"/>
      </w:pPr>
      <w:bookmarkStart w:id="11" w:name="_Toc56084030"/>
      <w:r>
        <w:rPr>
          <w:rFonts w:hint="eastAsia"/>
        </w:rPr>
        <w:t>首页</w:t>
      </w:r>
      <w:bookmarkEnd w:id="11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工资发放代办事项：（图3-2-</w:t>
      </w:r>
      <w:r>
        <w:rPr>
          <w:rFonts w:ascii="宋体" w:hAnsi="宋体"/>
          <w:szCs w:val="24"/>
        </w:rPr>
        <w:t>1</w:t>
      </w:r>
      <w:r>
        <w:rPr>
          <w:rFonts w:hint="eastAsia" w:ascii="宋体" w:hAnsi="宋体"/>
          <w:szCs w:val="24"/>
        </w:rPr>
        <w:t>-1）列表提供标题、状态、月份、创建时间字段的显示，并提供了处理操作。</w:t>
      </w:r>
    </w:p>
    <w:p>
      <w:pPr>
        <w:spacing w:before="120" w:after="120" w:line="220" w:lineRule="atLeas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注：劳资专员角色才能对工资发放代办事项处理；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 xml:space="preserve">    工资发放代办：通过佛山农民工工资管理系统制作工资表生成；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3258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（图4-2-1-1）</w:t>
      </w:r>
    </w:p>
    <w:p>
      <w:pPr>
        <w:spacing w:before="120" w:after="120" w:line="220" w:lineRule="atLeast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我的代办事项：（图3-2-</w:t>
      </w:r>
      <w:r>
        <w:rPr>
          <w:rFonts w:ascii="宋体" w:hAnsi="宋体"/>
          <w:szCs w:val="24"/>
        </w:rPr>
        <w:t>1</w:t>
      </w:r>
      <w:r>
        <w:rPr>
          <w:rFonts w:hint="eastAsia" w:ascii="宋体" w:hAnsi="宋体"/>
          <w:szCs w:val="24"/>
        </w:rPr>
        <w:t>-2）列表提供标题、处理环节、到达时间、预约办理时间字段的显示，并提供了处理操作。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3040" cy="1500505"/>
            <wp:effectExtent l="0" t="0" r="381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06" cy="150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（图3-2-1-2）</w:t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12" w:name="_Toc56084031"/>
      <w:r>
        <w:rPr>
          <w:rFonts w:hint="eastAsia"/>
        </w:rPr>
        <w:t>企业信息</w:t>
      </w:r>
      <w:bookmarkEnd w:id="12"/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列表</w:t>
      </w:r>
      <w:r>
        <w:rPr>
          <w:rFonts w:hint="eastAsia" w:ascii="宋体" w:hAnsi="宋体"/>
          <w:szCs w:val="24"/>
        </w:rPr>
        <w:t>(图3-2-2-1) ：显示当前用户所在的企业相关信息；</w:t>
      </w:r>
    </w:p>
    <w:p>
      <w:pPr>
        <w:spacing w:before="120" w:after="120"/>
        <w:rPr>
          <w:rFonts w:ascii="宋体" w:hAnsi="宋体"/>
          <w:szCs w:val="24"/>
        </w:rPr>
      </w:pPr>
      <w:r>
        <w:drawing>
          <wp:inline distT="0" distB="0" distL="0" distR="0">
            <wp:extent cx="5274310" cy="12966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jc w:val="center"/>
      </w:pPr>
      <w:r>
        <w:rPr>
          <w:rFonts w:hint="eastAsia" w:ascii="宋体" w:hAnsi="宋体"/>
          <w:szCs w:val="24"/>
        </w:rPr>
        <w:t>(图3-2-2-1)</w:t>
      </w:r>
    </w:p>
    <w:p>
      <w:pPr>
        <w:pStyle w:val="4"/>
        <w:numPr>
          <w:ilvl w:val="2"/>
          <w:numId w:val="1"/>
        </w:numPr>
        <w:spacing w:before="120" w:after="120"/>
      </w:pPr>
      <w:bookmarkStart w:id="13" w:name="_Toc56084032"/>
      <w:r>
        <w:rPr>
          <w:rFonts w:hint="eastAsia"/>
        </w:rPr>
        <w:t>用户管理</w:t>
      </w:r>
      <w:bookmarkEnd w:id="13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列表</w:t>
      </w:r>
      <w:r>
        <w:rPr>
          <w:rFonts w:hint="eastAsia" w:ascii="宋体" w:hAnsi="宋体"/>
          <w:szCs w:val="24"/>
        </w:rPr>
        <w:t>：提供了关键字和状态的查询功能，关键字使用姓名或联系电话进行模糊查询。列表提供了姓名，联系电话，用户类型，状态字段的显示，并提供了详情、新增、修改、激活、禁用、重置密码和授权操作,并给劳资专员提供了重置支付密码、重置支付密码问题和修改支付密码的操作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</w:t>
      </w:r>
    </w:p>
    <w:p>
      <w:pPr>
        <w:pStyle w:val="24"/>
        <w:numPr>
          <w:ilvl w:val="0"/>
          <w:numId w:val="2"/>
        </w:numPr>
        <w:spacing w:before="120" w:after="120" w:line="220" w:lineRule="atLeast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主用户（图3-2-3-1）才能进行新增、修改、激活、禁用、重置密码和授权操作；</w:t>
      </w:r>
    </w:p>
    <w:p>
      <w:pPr>
        <w:pStyle w:val="24"/>
        <w:numPr>
          <w:ilvl w:val="0"/>
          <w:numId w:val="2"/>
        </w:numPr>
        <w:spacing w:before="120" w:after="120" w:line="220" w:lineRule="atLeast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劳资专员（图3-2-3-2）才能进行重置支付密码、重置支付密码问题和修改支付密码的操作。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345565"/>
            <wp:effectExtent l="0" t="0" r="254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（图3-2-3-1）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17157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（图3-2-3-2）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新增</w:t>
      </w:r>
      <w:r>
        <w:rPr>
          <w:rFonts w:hint="eastAsia" w:ascii="宋体" w:hAnsi="宋体"/>
          <w:szCs w:val="24"/>
        </w:rPr>
        <w:t>:(图3-2-3-4)提供了新增工程用户、并授权（分配权限劳资专员）的功能。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注意：新增用户后，会默认授权劳资专员角色；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8839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486400" cy="1231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 xml:space="preserve"> (图3-2-3-4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授权</w:t>
      </w:r>
      <w:r>
        <w:rPr>
          <w:rFonts w:hint="eastAsia" w:ascii="宋体" w:hAnsi="宋体"/>
          <w:szCs w:val="24"/>
        </w:rPr>
        <w:t>:(图3-2-3-5)给子账号用户分配角色（劳资专员，）。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8826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194056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3-2-3-5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修改</w:t>
      </w:r>
      <w:r>
        <w:rPr>
          <w:rFonts w:hint="eastAsia" w:ascii="宋体" w:hAnsi="宋体"/>
          <w:szCs w:val="24"/>
        </w:rPr>
        <w:t>：（图3-2-3-6）修改用户的基本信息。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注：单位主用户可修改所有，企业子账户只可修改自身；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8826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both"/>
      </w:pPr>
      <w:r>
        <w:drawing>
          <wp:inline distT="0" distB="0" distL="0" distR="0">
            <wp:extent cx="5274310" cy="9969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9969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</w:t>
      </w:r>
      <w:r>
        <w:rPr>
          <w:rFonts w:hint="eastAsia" w:ascii="宋体" w:hAnsi="宋体"/>
          <w:szCs w:val="24"/>
        </w:rPr>
        <w:t>图3-2-3-6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密码重置</w:t>
      </w:r>
      <w:r>
        <w:rPr>
          <w:rFonts w:hint="eastAsia" w:ascii="宋体" w:hAnsi="宋体"/>
          <w:szCs w:val="24"/>
        </w:rPr>
        <w:t>：（图3-2-3-7）主用户对子用户进行密码重置（重置登录密码）。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89090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9023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3-2-3-7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禁用</w:t>
      </w:r>
      <w:r>
        <w:rPr>
          <w:rFonts w:hint="eastAsia" w:ascii="宋体" w:hAnsi="宋体"/>
          <w:szCs w:val="24"/>
        </w:rPr>
        <w:t>(图3-2-3-8)，禁用子账号的使用。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8604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8839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3-2-3-8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激活</w:t>
      </w:r>
      <w:r>
        <w:rPr>
          <w:rFonts w:hint="eastAsia" w:ascii="宋体" w:hAnsi="宋体"/>
          <w:szCs w:val="24"/>
        </w:rPr>
        <w:t>：（图3-2-3-9）激活被禁用的子账号。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4310" cy="78422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4310" cy="8026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</w:t>
      </w:r>
      <w:r>
        <w:rPr>
          <w:rFonts w:hint="eastAsia" w:ascii="宋体" w:hAnsi="宋体"/>
          <w:szCs w:val="24"/>
        </w:rPr>
        <w:t>图3-2-3-9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详情</w:t>
      </w:r>
      <w:r>
        <w:rPr>
          <w:rFonts w:hint="eastAsia" w:ascii="宋体" w:hAnsi="宋体"/>
          <w:szCs w:val="24"/>
        </w:rPr>
        <w:t>：（图3-2-3-10）用户的详情信息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4310" cy="9017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675" cy="116395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6" cy="116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3-2-3-10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</w:pPr>
      <w:r>
        <w:rPr>
          <w:rFonts w:hint="eastAsia"/>
          <w:b/>
          <w:bCs/>
        </w:rPr>
        <w:t>修改支付密码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（图3-2-3-11）</w:t>
      </w:r>
      <w:r>
        <w:rPr>
          <w:rFonts w:hint="eastAsia"/>
        </w:rPr>
        <w:t>劳资专员修改支付密码。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2710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135064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3-2-3-11</w:t>
      </w:r>
      <w:r>
        <w:rPr>
          <w:rFonts w:hint="eastAsia"/>
        </w:rPr>
        <w:t>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重置支付密码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（图3-2-3-12）</w:t>
      </w:r>
      <w:r>
        <w:rPr>
          <w:rFonts w:hint="eastAsia"/>
        </w:rPr>
        <w:t>劳资专员重置支付密码。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0614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drawing>
          <wp:inline distT="0" distB="0" distL="0" distR="0">
            <wp:extent cx="5229225" cy="1583055"/>
            <wp:effectExtent l="0" t="0" r="0" b="0"/>
            <wp:docPr id="28697" name="图片 2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7" name="图片 28697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06" cy="15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3-2-3-12</w:t>
      </w:r>
      <w:r>
        <w:rPr>
          <w:rFonts w:hint="eastAsia"/>
        </w:rPr>
        <w:t>）</w:t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重置支付密码问题和答案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（图3-2-3-13）</w:t>
      </w:r>
      <w:r>
        <w:rPr>
          <w:rFonts w:hint="eastAsia"/>
        </w:rPr>
        <w:t>劳资专员重置支付密码问题和答案。</w:t>
      </w:r>
    </w:p>
    <w:p>
      <w:pPr>
        <w:spacing w:before="120" w:after="120" w:line="220" w:lineRule="atLeast"/>
      </w:pPr>
      <w:r>
        <w:rPr>
          <w:rFonts w:hint="eastAsia"/>
        </w:rPr>
        <w:t>备注：重置支付密码需要输入支付密码和短信验证码。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894080"/>
            <wp:effectExtent l="0" t="0" r="254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3675" cy="1413510"/>
            <wp:effectExtent l="0" t="0" r="3175" b="0"/>
            <wp:docPr id="28699" name="图片 28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9" name="图片 28699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45" cy="14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3-2-3-13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pStyle w:val="3"/>
        <w:numPr>
          <w:ilvl w:val="1"/>
          <w:numId w:val="1"/>
        </w:numPr>
        <w:spacing w:before="120" w:after="120"/>
      </w:pPr>
      <w:bookmarkStart w:id="14" w:name="_Toc56084033"/>
      <w:r>
        <w:rPr>
          <w:rFonts w:hint="eastAsia"/>
        </w:rPr>
        <w:t>工程管理</w:t>
      </w:r>
      <w:bookmarkEnd w:id="14"/>
    </w:p>
    <w:p>
      <w:pPr>
        <w:pStyle w:val="4"/>
        <w:numPr>
          <w:ilvl w:val="2"/>
          <w:numId w:val="1"/>
        </w:numPr>
        <w:spacing w:before="120" w:after="120"/>
      </w:pPr>
      <w:bookmarkStart w:id="15" w:name="_Toc56084034"/>
      <w:r>
        <w:rPr>
          <w:rFonts w:hint="eastAsia"/>
        </w:rPr>
        <w:t>工程管理</w:t>
      </w:r>
      <w:bookmarkEnd w:id="15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列表</w:t>
      </w:r>
      <w:r>
        <w:rPr>
          <w:rFonts w:hint="eastAsia" w:ascii="宋体" w:hAnsi="宋体"/>
          <w:szCs w:val="24"/>
        </w:rPr>
        <w:t>（图3-3-1-1）：列表提供了所属网点、关键字、开户类型和状态的查询，关键字提供了工程名称、账户或经办人的模糊搜索，列表提供了工程编码、工程名称，开户网点，账户，余额，开户类型，经办人，手机号，状态的字段的显示并提供了查看详情、分配用户、开户、销户、账户流水明细和流程跟踪等操作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</w:p>
    <w:p>
      <w:pPr>
        <w:spacing w:before="120" w:after="120" w:line="220" w:lineRule="atLeast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注：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1.企业主账号才能分配用户；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2.开户、销户只有企业子账户才能操作；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3.开户成功的工程才能查看账户流水明细</w:t>
      </w:r>
    </w:p>
    <w:p>
      <w:pPr>
        <w:spacing w:before="120" w:after="120"/>
        <w:jc w:val="center"/>
      </w:pPr>
      <w:r>
        <w:drawing>
          <wp:inline distT="0" distB="0" distL="0" distR="0">
            <wp:extent cx="5273675" cy="1115695"/>
            <wp:effectExtent l="0" t="0" r="3175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28" cy="11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</w:t>
      </w:r>
      <w:r>
        <w:rPr>
          <w:rFonts w:hint="eastAsia" w:ascii="宋体" w:hAnsi="宋体"/>
          <w:szCs w:val="24"/>
        </w:rPr>
        <w:t>3-3-1-1</w:t>
      </w:r>
      <w:r>
        <w:rPr>
          <w:rFonts w:hint="eastAsia"/>
        </w:rPr>
        <w:t>）</w:t>
      </w:r>
      <w:r>
        <w:drawing>
          <wp:inline distT="0" distB="0" distL="0" distR="0">
            <wp:extent cx="5274310" cy="136017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新增</w:t>
      </w:r>
      <w:r>
        <w:rPr>
          <w:rFonts w:hint="eastAsia" w:ascii="宋体" w:hAnsi="宋体"/>
          <w:szCs w:val="24"/>
        </w:rPr>
        <w:t>：(图3-3-1-2)添加新工程。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企业主账户登录，工程编码存在于平台,输入工程编码会自动获取工程名和发包单位等信息。合同造价:企业所签订的合同价格；</w:t>
      </w:r>
    </w:p>
    <w:p>
      <w:pPr>
        <w:spacing w:before="120" w:after="120"/>
        <w:rPr>
          <w:rFonts w:ascii="宋体" w:hAnsi="宋体"/>
          <w:b/>
          <w:szCs w:val="24"/>
        </w:rPr>
      </w:pPr>
      <w:r>
        <w:rPr>
          <w:rFonts w:hint="eastAsia" w:ascii="宋体" w:hAnsi="宋体"/>
          <w:b/>
          <w:szCs w:val="24"/>
        </w:rPr>
        <w:t>注意事项：</w:t>
      </w:r>
    </w:p>
    <w:p>
      <w:pPr>
        <w:spacing w:before="120" w:after="120"/>
      </w:pPr>
      <w:r>
        <w:rPr>
          <w:rFonts w:hint="eastAsia" w:ascii="宋体" w:hAnsi="宋体"/>
          <w:b/>
          <w:szCs w:val="24"/>
        </w:rPr>
        <w:t>1.工程编码输入前需要选择行政区划，不同行政区划线下开户时设置不一样！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2.系统目前对接佛山市住建局和轨道交通局工程；</w:t>
      </w:r>
      <w:r>
        <w:rPr>
          <w:rFonts w:hint="eastAsia"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3.工程款总额无明确规定，可按照合同造价10%-20%比例填写</w:t>
      </w:r>
      <w:r>
        <w:rPr>
          <w:rFonts w:ascii="宋体" w:hAnsi="宋体"/>
          <w:b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4.工程编码无法获取工程信息情况，核对工程编码正确</w:t>
      </w:r>
      <w:r>
        <w:drawing>
          <wp:inline distT="0" distB="0" distL="0" distR="0">
            <wp:extent cx="5274310" cy="7232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jc w:val="center"/>
      </w:pPr>
      <w:r>
        <w:rPr>
          <w:rFonts w:hint="eastAsia" w:ascii="宋体" w:hAnsi="宋体"/>
          <w:szCs w:val="24"/>
        </w:rPr>
        <w:t>(图3-3-1-2)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3040" cy="2470150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316" cy="24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rPr>
          <w:rFonts w:hint="eastAsia" w:ascii="宋体" w:hAnsi="宋体"/>
          <w:b/>
          <w:bCs/>
          <w:szCs w:val="24"/>
        </w:rPr>
        <w:t>分配用户</w:t>
      </w:r>
      <w:r>
        <w:rPr>
          <w:rFonts w:hint="eastAsia" w:ascii="宋体" w:hAnsi="宋体"/>
          <w:szCs w:val="24"/>
        </w:rPr>
        <w:t>：（图3-3-1-3）主账号给已经授权的子用户（是已经分配好角色的子用户）分配工程</w:t>
      </w:r>
      <w:r>
        <w:rPr>
          <w:rFonts w:hint="eastAsia" w:ascii="宋体" w:hAnsi="宋体"/>
          <w:b/>
          <w:szCs w:val="24"/>
        </w:rPr>
        <w:t>（需要先添加用户，然后给用户授权劳资专员）</w:t>
      </w:r>
    </w:p>
    <w:p>
      <w:pPr>
        <w:spacing w:before="120" w:after="120"/>
      </w:pPr>
      <w:r>
        <w:drawing>
          <wp:inline distT="0" distB="0" distL="0" distR="0">
            <wp:extent cx="5274310" cy="925830"/>
            <wp:effectExtent l="0" t="0" r="2540" b="762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（图3-3-1-3）</w:t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点击添加：进行添加用户</w:t>
      </w:r>
    </w:p>
    <w:p>
      <w:pPr>
        <w:spacing w:before="120" w:after="120"/>
      </w:pPr>
      <w:r>
        <w:drawing>
          <wp:inline distT="0" distB="0" distL="0" distR="0">
            <wp:extent cx="5273040" cy="1116965"/>
            <wp:effectExtent l="0" t="0" r="3810" b="6985"/>
            <wp:docPr id="28672" name="图片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" name="图片 2867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55" cy="11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  <w:r>
        <w:drawing>
          <wp:inline distT="0" distB="0" distL="0" distR="0">
            <wp:extent cx="5274310" cy="3784600"/>
            <wp:effectExtent l="0" t="0" r="2540" b="6350"/>
            <wp:docPr id="28682" name="图片 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图片 2868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</w:p>
    <w:p>
      <w:pPr>
        <w:spacing w:before="120" w:after="120"/>
        <w:rPr>
          <w:rFonts w:ascii="宋体" w:hAnsi="宋体" w:cs="宋体"/>
          <w:szCs w:val="24"/>
          <w:lang w:bidi="ar"/>
        </w:rPr>
      </w:pPr>
      <w:r>
        <w:rPr>
          <w:rFonts w:hint="eastAsia" w:ascii="宋体" w:hAnsi="宋体" w:cs="宋体"/>
          <w:b/>
          <w:bCs/>
          <w:szCs w:val="24"/>
          <w:lang w:bidi="ar"/>
        </w:rPr>
        <w:t>账户流水明细：</w:t>
      </w:r>
      <w:r>
        <w:rPr>
          <w:rFonts w:hint="eastAsia" w:ascii="宋体" w:hAnsi="宋体" w:cs="宋体"/>
          <w:szCs w:val="24"/>
          <w:lang w:bidi="ar"/>
        </w:rPr>
        <w:t>点击可查看账户相关流水明细；</w:t>
      </w:r>
      <w:r>
        <w:rPr>
          <w:rFonts w:ascii="宋体" w:hAnsi="宋体" w:cs="宋体"/>
          <w:szCs w:val="24"/>
          <w:lang w:bidi="ar"/>
        </w:rPr>
        <w:br w:type="textWrapping"/>
      </w:r>
      <w:r>
        <w:drawing>
          <wp:inline distT="0" distB="0" distL="0" distR="0">
            <wp:extent cx="5272405" cy="1128395"/>
            <wp:effectExtent l="0" t="0" r="4445" b="0"/>
            <wp:docPr id="28684" name="图片 2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图片 28684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00" cy="112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  <w:r>
        <w:drawing>
          <wp:inline distT="0" distB="0" distL="0" distR="0">
            <wp:extent cx="5274310" cy="1116965"/>
            <wp:effectExtent l="0" t="0" r="2540" b="6985"/>
            <wp:docPr id="28685" name="图片 2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图片 2868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</w:p>
    <w:p>
      <w:pPr>
        <w:spacing w:before="120" w:after="120"/>
      </w:pPr>
      <w:r>
        <w:rPr>
          <w:rFonts w:hint="eastAsia"/>
          <w:b/>
          <w:bCs/>
        </w:rPr>
        <w:t>流程管理</w:t>
      </w:r>
      <w:r>
        <w:rPr>
          <w:rFonts w:hint="eastAsia"/>
        </w:rPr>
        <w:t>：可以跟踪查看流程的进度和详情</w:t>
      </w:r>
    </w:p>
    <w:p>
      <w:pPr>
        <w:spacing w:before="120" w:after="120"/>
      </w:pPr>
      <w:r>
        <w:drawing>
          <wp:inline distT="0" distB="0" distL="0" distR="0">
            <wp:extent cx="5274310" cy="1109345"/>
            <wp:effectExtent l="0" t="0" r="2540" b="0"/>
            <wp:docPr id="28686" name="图片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图片 28686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  <w:r>
        <w:drawing>
          <wp:inline distT="0" distB="0" distL="0" distR="0">
            <wp:extent cx="5274310" cy="19100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详情</w:t>
      </w:r>
      <w:r>
        <w:rPr>
          <w:rFonts w:hint="eastAsia"/>
        </w:rPr>
        <w:t>：</w:t>
      </w:r>
      <w:r>
        <w:rPr>
          <w:rFonts w:hint="eastAsia" w:ascii="宋体" w:hAnsi="宋体"/>
          <w:szCs w:val="24"/>
        </w:rPr>
        <w:t>当工程为未开户/开户审批中是显示工程详情（图3-3-1-4），当为正常使用/销户审批中显示开户详情（图3-3-1-5），当为销户时显示销户详情（图3-3-1-6）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3408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未开户/开户审批中详情显示工程详情；</w:t>
      </w:r>
    </w:p>
    <w:p>
      <w:pPr>
        <w:spacing w:before="120" w:after="120" w:line="220" w:lineRule="atLeast"/>
      </w:pPr>
      <w:r>
        <w:drawing>
          <wp:inline distT="0" distB="0" distL="0" distR="0">
            <wp:extent cx="5273675" cy="207962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09" cy="20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 w:ascii="宋体" w:hAnsi="宋体"/>
          <w:szCs w:val="24"/>
        </w:rPr>
        <w:t>（图3-3-1-4）</w:t>
      </w:r>
    </w:p>
    <w:p>
      <w:pPr>
        <w:spacing w:before="120" w:after="120" w:line="220" w:lineRule="atLeast"/>
      </w:pPr>
      <w:r>
        <w:rPr>
          <w:rFonts w:hint="eastAsia" w:ascii="宋体" w:hAnsi="宋体"/>
          <w:szCs w:val="24"/>
        </w:rPr>
        <w:t>正常使用/销户审批中显示开户详情</w:t>
      </w:r>
    </w:p>
    <w:p>
      <w:pPr>
        <w:spacing w:before="120" w:after="120" w:line="220" w:lineRule="atLeast"/>
      </w:pPr>
      <w:r>
        <w:drawing>
          <wp:inline distT="0" distB="0" distL="0" distR="0">
            <wp:extent cx="5820410" cy="796861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787" cy="79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 w:ascii="宋体" w:hAnsi="宋体"/>
          <w:szCs w:val="24"/>
        </w:rPr>
        <w:t>（图3-3-1-5）</w:t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16" w:name="_Toc27130869"/>
      <w:bookmarkStart w:id="17" w:name="_Toc56084035"/>
      <w:r>
        <w:rPr>
          <w:rFonts w:hint="eastAsia"/>
        </w:rPr>
        <w:t>正常开户</w:t>
      </w:r>
      <w:bookmarkEnd w:id="16"/>
      <w:bookmarkEnd w:id="17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正常开户</w:t>
      </w:r>
      <w:r>
        <w:rPr>
          <w:rFonts w:hint="eastAsia" w:ascii="宋体" w:hAnsi="宋体"/>
          <w:szCs w:val="24"/>
        </w:rPr>
        <w:t>：（图3-3-2-1</w:t>
      </w:r>
      <w:r>
        <w:rPr>
          <w:rFonts w:ascii="宋体" w:hAnsi="宋体"/>
          <w:szCs w:val="24"/>
        </w:rPr>
        <w:t>）</w:t>
      </w:r>
      <w:r>
        <w:rPr>
          <w:rFonts w:hint="eastAsia" w:ascii="宋体" w:hAnsi="宋体"/>
          <w:szCs w:val="24"/>
        </w:rPr>
        <w:t>劳资专员可以给该工程进行开户。</w:t>
      </w:r>
    </w:p>
    <w:p>
      <w:pPr>
        <w:spacing w:before="120" w:after="120" w:line="220" w:lineRule="atLeast"/>
      </w:pPr>
      <w:r>
        <w:rPr>
          <w:rFonts w:hint="eastAsia" w:ascii="宋体" w:hAnsi="宋体"/>
          <w:szCs w:val="24"/>
        </w:rPr>
        <w:t>注：主账号必须给工程分配用户</w:t>
      </w:r>
    </w:p>
    <w:p>
      <w:pPr>
        <w:spacing w:before="120" w:after="120" w:line="220" w:lineRule="atLeast"/>
      </w:pPr>
      <w:r>
        <w:drawing>
          <wp:inline distT="0" distB="0" distL="0" distR="0">
            <wp:extent cx="5273675" cy="774065"/>
            <wp:effectExtent l="0" t="0" r="3175" b="6985"/>
            <wp:docPr id="28690" name="图片 28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0" name="图片 28690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74" cy="7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br w:type="textWrapping"/>
      </w:r>
      <w:r>
        <w:rPr>
          <w:rFonts w:hint="eastAsia"/>
        </w:rPr>
        <w:t>开户保存后，可直接下载打印管理协议和开户资料清单；保存后可在更多操作中打印账户管理协议：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271526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 w:ascii="宋体" w:hAnsi="宋体"/>
          <w:b/>
          <w:szCs w:val="24"/>
        </w:rPr>
        <w:t>新开户与变更开户区别：</w:t>
      </w:r>
      <w:r>
        <w:rPr>
          <w:rFonts w:ascii="宋体" w:hAnsi="宋体"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新开户</w:t>
      </w:r>
      <w:r>
        <w:rPr>
          <w:rFonts w:hint="eastAsia" w:ascii="宋体" w:hAnsi="宋体"/>
          <w:szCs w:val="24"/>
        </w:rPr>
        <w:t>：工程未在其他银行（如农行）未开过专户且专户未报送平台；</w:t>
      </w:r>
      <w:r>
        <w:rPr>
          <w:rFonts w:ascii="宋体" w:hAnsi="宋体"/>
          <w:szCs w:val="24"/>
        </w:rPr>
        <w:br w:type="textWrapping"/>
      </w:r>
      <w:r>
        <w:rPr>
          <w:rFonts w:hint="eastAsia"/>
          <w:b/>
        </w:rPr>
        <w:t>变更开户</w:t>
      </w:r>
      <w:r>
        <w:rPr>
          <w:rFonts w:hint="eastAsia"/>
        </w:rPr>
        <w:t>：工程在其他银行已开过专户，且专户通过线上开户已经报送平台；</w:t>
      </w:r>
      <w:r>
        <w:rPr>
          <w:rFonts w:hint="eastAsia"/>
        </w:rPr>
        <w:br w:type="textWrapping"/>
      </w:r>
      <w:r>
        <w:rPr>
          <w:rFonts w:hint="eastAsia"/>
          <w:b/>
        </w:rPr>
        <w:t>以下情况选择新开户：</w:t>
      </w:r>
      <w:r>
        <w:br w:type="textWrapping"/>
      </w:r>
      <w:r>
        <w:rPr>
          <w:rFonts w:hint="eastAsia"/>
        </w:rPr>
        <w:t>工程在银行线下开户，但是未走线上开户流程；</w:t>
      </w:r>
      <w:r>
        <w:br w:type="textWrapping"/>
      </w:r>
      <w:r>
        <w:rPr>
          <w:rFonts w:hint="eastAsia"/>
        </w:rPr>
        <w:t>工程在其他银行线下开户，未走线上开户流程，未推送到佛山农民工工资平台</w:t>
      </w:r>
      <w:r>
        <w:br w:type="textWrapping"/>
      </w:r>
      <w:r>
        <w:rPr>
          <w:rFonts w:hint="eastAsia"/>
          <w:b/>
        </w:rPr>
        <w:t>以下情况选择变更开户：</w:t>
      </w:r>
      <w:r>
        <w:br w:type="textWrapping"/>
      </w:r>
      <w:r>
        <w:rPr>
          <w:rFonts w:hint="eastAsia"/>
        </w:rPr>
        <w:t>当工程在其他银行（如农行）通过线上开户申请，在该银行线下也开了专户；</w:t>
      </w:r>
    </w:p>
    <w:p>
      <w:pPr>
        <w:spacing w:before="120" w:after="120" w:line="220" w:lineRule="atLeast"/>
      </w:pPr>
      <w:r>
        <w:rPr>
          <w:rFonts w:hint="eastAsia"/>
        </w:rPr>
        <w:t>注：</w:t>
      </w:r>
    </w:p>
    <w:p>
      <w:pPr>
        <w:spacing w:before="120" w:after="120" w:line="220" w:lineRule="atLeast"/>
        <w:rPr>
          <w:b/>
        </w:rPr>
      </w:pPr>
      <w:r>
        <w:rPr>
          <w:rFonts w:hint="eastAsia"/>
          <w:b/>
        </w:rPr>
        <w:t>选择变更开户，工程在其他银行开的专户需要先进行销户操作</w:t>
      </w:r>
    </w:p>
    <w:p>
      <w:pPr>
        <w:spacing w:before="120" w:after="120" w:line="220" w:lineRule="atLeast"/>
      </w:pPr>
      <w:r>
        <w:drawing>
          <wp:inline distT="0" distB="0" distL="0" distR="0">
            <wp:extent cx="5414010" cy="85083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81" cy="85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正常开户处理：</w:t>
      </w:r>
      <w:r>
        <w:rPr>
          <w:rFonts w:hint="eastAsia" w:ascii="宋体" w:hAnsi="宋体"/>
          <w:szCs w:val="24"/>
        </w:rPr>
        <w:t>劳资专员处理被驳回的开户申请</w:t>
      </w:r>
    </w:p>
    <w:p>
      <w:pPr>
        <w:spacing w:before="120" w:after="120" w:line="220" w:lineRule="atLeast"/>
      </w:pPr>
      <w:r>
        <w:drawing>
          <wp:inline distT="0" distB="0" distL="0" distR="0">
            <wp:extent cx="5273675" cy="1521460"/>
            <wp:effectExtent l="0" t="0" r="3175" b="2540"/>
            <wp:docPr id="28693" name="图片 2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3" name="图片 28693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88" cy="15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18" w:name="_Toc27130870"/>
      <w:bookmarkStart w:id="19" w:name="_Toc56084036"/>
      <w:r>
        <w:rPr>
          <w:rFonts w:hint="eastAsia"/>
        </w:rPr>
        <w:t>正常销户</w:t>
      </w:r>
      <w:bookmarkEnd w:id="18"/>
      <w:bookmarkEnd w:id="19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正常销户</w:t>
      </w:r>
      <w:r>
        <w:rPr>
          <w:rFonts w:hint="eastAsia" w:ascii="宋体" w:hAnsi="宋体"/>
          <w:szCs w:val="24"/>
        </w:rPr>
        <w:t>：（图3-3-3-1）,</w:t>
      </w:r>
      <w:r>
        <w:rPr>
          <w:rFonts w:hint="eastAsia" w:ascii="宋体" w:hAnsi="宋体"/>
          <w:b/>
          <w:szCs w:val="24"/>
        </w:rPr>
        <w:t>劳资专员</w:t>
      </w:r>
      <w:r>
        <w:rPr>
          <w:rFonts w:hint="eastAsia" w:ascii="宋体" w:hAnsi="宋体"/>
          <w:szCs w:val="24"/>
        </w:rPr>
        <w:t>可以撤销该工程的工人工资专用账户。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备注：主账号必须把分配工程给该用户，该专户必须为可销户状态。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可销户状态：1.工程竣工或完工；</w:t>
      </w:r>
    </w:p>
    <w:p>
      <w:pPr>
        <w:spacing w:before="120" w:after="120" w:line="220" w:lineRule="atLeast"/>
        <w:ind w:firstLine="1440" w:firstLineChars="6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2.专户在平台上面没有工资预警（如有工人工资未发放）；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 xml:space="preserve"> </w:t>
      </w:r>
      <w:r>
        <w:drawing>
          <wp:inline distT="0" distB="0" distL="0" distR="0">
            <wp:extent cx="5274310" cy="1098550"/>
            <wp:effectExtent l="0" t="0" r="2540" b="6350"/>
            <wp:docPr id="28694" name="图片 2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4" name="图片 28694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223510" cy="5130165"/>
            <wp:effectExtent l="0" t="0" r="0" b="0"/>
            <wp:docPr id="28696" name="图片 28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6" name="图片 28696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77" cy="513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（图3-3-3-1）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正常劳资员处理</w:t>
      </w:r>
      <w:r>
        <w:rPr>
          <w:rFonts w:hint="eastAsia" w:ascii="宋体" w:hAnsi="宋体"/>
          <w:szCs w:val="24"/>
        </w:rPr>
        <w:t>：(图3-3-3-2)劳资员处理银行销户驳回</w:t>
      </w:r>
    </w:p>
    <w:p>
      <w:pPr>
        <w:spacing w:before="120" w:after="120" w:line="220" w:lineRule="atLeast"/>
      </w:pPr>
      <w:r>
        <w:drawing>
          <wp:inline distT="0" distB="0" distL="0" distR="0">
            <wp:extent cx="5273040" cy="1436370"/>
            <wp:effectExtent l="0" t="0" r="3810" b="0"/>
            <wp:docPr id="28700" name="图片 28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0" name="图片 28700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287" cy="14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 w:ascii="宋体" w:hAnsi="宋体"/>
          <w:szCs w:val="24"/>
        </w:rPr>
        <w:t>(图3-3-3-2)</w:t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r>
        <w:rPr>
          <w:rFonts w:hint="eastAsia"/>
        </w:rPr>
        <w:t>变更开户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正常开户</w:t>
      </w:r>
      <w:r>
        <w:rPr>
          <w:rFonts w:hint="eastAsia" w:ascii="宋体" w:hAnsi="宋体"/>
          <w:szCs w:val="24"/>
        </w:rPr>
        <w:t>：（图3-3-4-1</w:t>
      </w:r>
      <w:r>
        <w:rPr>
          <w:rFonts w:ascii="宋体" w:hAnsi="宋体"/>
          <w:szCs w:val="24"/>
        </w:rPr>
        <w:t>）</w:t>
      </w:r>
      <w:r>
        <w:rPr>
          <w:rFonts w:hint="eastAsia" w:ascii="宋体" w:hAnsi="宋体"/>
          <w:szCs w:val="24"/>
        </w:rPr>
        <w:t>劳资专员可以给该工程进行变更开户。</w:t>
      </w:r>
    </w:p>
    <w:p>
      <w:pPr>
        <w:spacing w:before="120" w:after="120" w:line="220" w:lineRule="atLeast"/>
      </w:pPr>
      <w:r>
        <w:rPr>
          <w:rFonts w:hint="eastAsia" w:ascii="宋体" w:hAnsi="宋体"/>
          <w:szCs w:val="24"/>
        </w:rPr>
        <w:t>注：主账号必须给工程分配用户</w:t>
      </w:r>
      <w:r>
        <w:rPr>
          <w:rFonts w:ascii="宋体" w:hAnsi="宋体"/>
          <w:szCs w:val="24"/>
        </w:rPr>
        <w:br w:type="textWrapping"/>
      </w:r>
      <w:r>
        <w:rPr>
          <w:rFonts w:hint="eastAsia" w:ascii="宋体" w:hAnsi="宋体"/>
          <w:szCs w:val="24"/>
        </w:rPr>
        <w:t>开户类型需要选择变更开户！</w:t>
      </w:r>
    </w:p>
    <w:p>
      <w:pPr>
        <w:spacing w:before="120" w:after="120" w:line="220" w:lineRule="atLeast"/>
      </w:pPr>
      <w:r>
        <w:drawing>
          <wp:inline distT="0" distB="0" distL="0" distR="0">
            <wp:extent cx="5273040" cy="1751330"/>
            <wp:effectExtent l="0" t="0" r="381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4" cy="17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  <w:r>
        <w:rPr>
          <w:rFonts w:hint="eastAsia"/>
        </w:rPr>
        <w:t>变更开户保存提交后，可打印账户管理协议及开户清单；也可在更多操作中打印账户管理协议：</w:t>
      </w:r>
      <w:r>
        <w:br w:type="textWrapping"/>
      </w:r>
      <w:r>
        <w:drawing>
          <wp:inline distT="0" distB="0" distL="0" distR="0">
            <wp:extent cx="5274310" cy="27152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</w:rPr>
        <w:br w:type="textWrapping"/>
      </w:r>
      <w:r>
        <w:rPr>
          <w:rFonts w:hint="eastAsia" w:ascii="宋体" w:hAnsi="宋体"/>
          <w:b/>
          <w:szCs w:val="24"/>
        </w:rPr>
        <w:t>新开户与变更开户区别：</w:t>
      </w:r>
      <w:r>
        <w:rPr>
          <w:rFonts w:ascii="宋体" w:hAnsi="宋体"/>
          <w:szCs w:val="24"/>
        </w:rPr>
        <w:br w:type="textWrapping"/>
      </w:r>
      <w:r>
        <w:rPr>
          <w:rFonts w:hint="eastAsia" w:ascii="宋体" w:hAnsi="宋体"/>
          <w:b/>
          <w:szCs w:val="24"/>
        </w:rPr>
        <w:t>新开户</w:t>
      </w:r>
      <w:r>
        <w:rPr>
          <w:rFonts w:hint="eastAsia" w:ascii="宋体" w:hAnsi="宋体"/>
          <w:szCs w:val="24"/>
        </w:rPr>
        <w:t>：工程未在其他银行（如农行）未开过专户且专户未报送平台；</w:t>
      </w:r>
      <w:r>
        <w:rPr>
          <w:rFonts w:ascii="宋体" w:hAnsi="宋体"/>
          <w:szCs w:val="24"/>
        </w:rPr>
        <w:br w:type="textWrapping"/>
      </w:r>
      <w:r>
        <w:rPr>
          <w:rFonts w:hint="eastAsia"/>
          <w:b/>
        </w:rPr>
        <w:t>变更开户</w:t>
      </w:r>
      <w:r>
        <w:rPr>
          <w:rFonts w:hint="eastAsia"/>
        </w:rPr>
        <w:t>：工程在其他银行已开过专户，且专户通过线上开户已经报送平台；</w:t>
      </w:r>
      <w:r>
        <w:rPr>
          <w:rFonts w:hint="eastAsia"/>
        </w:rPr>
        <w:br w:type="textWrapping"/>
      </w:r>
      <w:r>
        <w:rPr>
          <w:rFonts w:hint="eastAsia"/>
          <w:b/>
        </w:rPr>
        <w:t>以下情况选择新开户：</w:t>
      </w:r>
      <w:r>
        <w:br w:type="textWrapping"/>
      </w:r>
      <w:r>
        <w:rPr>
          <w:rFonts w:hint="eastAsia"/>
        </w:rPr>
        <w:t>工程在银行线下开户，但是未走线上开户流程；</w:t>
      </w:r>
      <w:r>
        <w:br w:type="textWrapping"/>
      </w:r>
      <w:r>
        <w:rPr>
          <w:rFonts w:hint="eastAsia"/>
        </w:rPr>
        <w:t>工程在其他银行线下开户，未走线上开户流程，未推送到佛山农民工工资平台</w:t>
      </w:r>
      <w:r>
        <w:br w:type="textWrapping"/>
      </w:r>
      <w:r>
        <w:rPr>
          <w:rFonts w:hint="eastAsia"/>
          <w:b/>
        </w:rPr>
        <w:t>以下情况选择变更开户：</w:t>
      </w:r>
      <w:r>
        <w:br w:type="textWrapping"/>
      </w:r>
      <w:r>
        <w:rPr>
          <w:rFonts w:hint="eastAsia"/>
        </w:rPr>
        <w:t>当工程在其他银行（如农行）通过线上开户申请，在该银行线下也开了专户；</w:t>
      </w:r>
    </w:p>
    <w:p>
      <w:pPr>
        <w:spacing w:before="120" w:after="120" w:line="220" w:lineRule="atLeast"/>
        <w:rPr>
          <w:b/>
        </w:rPr>
      </w:pPr>
      <w:r>
        <w:rPr>
          <w:rFonts w:hint="eastAsia"/>
        </w:rPr>
        <w:t>注：</w:t>
      </w:r>
      <w:r>
        <w:rPr>
          <w:rFonts w:hint="eastAsia"/>
          <w:b/>
        </w:rPr>
        <w:t>选择变更开户，工程在其他银行开的专户需要先进行销户操作</w:t>
      </w:r>
    </w:p>
    <w:p>
      <w:pPr>
        <w:spacing w:before="120" w:after="120" w:line="220" w:lineRule="atLeast"/>
      </w:pPr>
      <w:r>
        <w:drawing>
          <wp:inline distT="0" distB="0" distL="0" distR="0">
            <wp:extent cx="5414010" cy="850836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81" cy="85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变更开户处理：</w:t>
      </w:r>
      <w:r>
        <w:rPr>
          <w:rFonts w:hint="eastAsia" w:ascii="宋体" w:hAnsi="宋体"/>
          <w:szCs w:val="24"/>
        </w:rPr>
        <w:t>劳资专员处理被驳回的开户申请</w:t>
      </w:r>
    </w:p>
    <w:p>
      <w:pPr>
        <w:spacing w:before="120" w:after="120" w:line="220" w:lineRule="atLeast"/>
      </w:pPr>
      <w:r>
        <w:drawing>
          <wp:inline distT="0" distB="0" distL="0" distR="0">
            <wp:extent cx="5273675" cy="1521460"/>
            <wp:effectExtent l="0" t="0" r="3175" b="25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88" cy="152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spacing w:before="120" w:after="120" w:line="220" w:lineRule="atLeast"/>
      </w:pPr>
    </w:p>
    <w:p>
      <w:pPr>
        <w:pStyle w:val="4"/>
        <w:numPr>
          <w:ilvl w:val="2"/>
          <w:numId w:val="1"/>
        </w:numPr>
        <w:spacing w:before="120" w:after="120"/>
      </w:pPr>
      <w:bookmarkStart w:id="20" w:name="_Toc56084037"/>
      <w:bookmarkStart w:id="21" w:name="_Toc27130871"/>
      <w:r>
        <w:rPr>
          <w:rFonts w:hint="eastAsia"/>
        </w:rPr>
        <w:t>打印账户管理协议</w:t>
      </w:r>
      <w:bookmarkEnd w:id="20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/>
        </w:rPr>
        <w:t>企业登录劳资专员，在点击开户申请，填写开户相关资料后，点击保存后可以直接打印下载管理协议及开户资料；也可以工程管理更多操作中重新打印；</w:t>
      </w:r>
    </w:p>
    <w:p>
      <w:pPr>
        <w:spacing w:before="120" w:after="120"/>
      </w:pPr>
      <w:r>
        <w:rPr>
          <w:rFonts w:hint="eastAsia"/>
        </w:rPr>
        <w:t>开户申请提交后，打印账户管理协议和开户资料清单（前往网点开户需要携带的资料清单）；</w:t>
      </w:r>
    </w:p>
    <w:p>
      <w:pPr>
        <w:spacing w:before="120" w:after="120"/>
      </w:pPr>
      <w:r>
        <w:rPr>
          <w:rFonts w:hint="eastAsia"/>
          <w:b/>
        </w:rPr>
        <w:t>开户信息填写错误联系预约网点驳回后在首页中处理，处理可以选择其他网点；</w:t>
      </w:r>
      <w:r>
        <w:br w:type="textWrapping"/>
      </w:r>
      <w:r>
        <w:drawing>
          <wp:inline distT="0" distB="0" distL="0" distR="0">
            <wp:extent cx="5274310" cy="30632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</w:rPr>
        <w:t>忘记打印或者遗失账户管理协议的，可在工程管理更多操作中重新打印账户管理协议：</w:t>
      </w:r>
      <w:r>
        <w:br w:type="textWrapping"/>
      </w:r>
      <w:r>
        <w:rPr>
          <w:rFonts w:hint="eastAsia"/>
        </w:rPr>
        <w:t>备注：开户复审通过前直接打印；多次重复打印管理协议编号不会更改；</w:t>
      </w:r>
    </w:p>
    <w:p>
      <w:pPr>
        <w:spacing w:before="120" w:after="120"/>
      </w:pPr>
      <w:r>
        <w:drawing>
          <wp:inline distT="0" distB="0" distL="0" distR="0">
            <wp:extent cx="5274310" cy="12039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spacing w:before="120" w:after="120"/>
      </w:pPr>
      <w:bookmarkStart w:id="22" w:name="_Toc56084038"/>
      <w:r>
        <w:rPr>
          <w:rFonts w:hint="eastAsia"/>
        </w:rPr>
        <w:t>账户活期明细</w:t>
      </w:r>
      <w:bookmarkEnd w:id="21"/>
      <w:bookmarkEnd w:id="22"/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列表提供账号查询；且提供了账号、余额、可用金额、冻结金额、开户时间、销户时间、更新时间字段显示和查看账户流水明细的操作。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57580"/>
            <wp:effectExtent l="0" t="0" r="2540" b="0"/>
            <wp:docPr id="28701" name="图片 2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" name="图片 2870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  <w:r>
        <w:rPr>
          <w:rFonts w:hint="eastAsia"/>
          <w:b/>
          <w:bCs/>
        </w:rPr>
        <w:t>查看账户流水明细</w:t>
      </w:r>
      <w:r>
        <w:rPr>
          <w:rFonts w:hint="eastAsia"/>
        </w:rPr>
        <w:t>：可以查看账户每一笔交易的流水明细；</w:t>
      </w:r>
    </w:p>
    <w:p>
      <w:pPr>
        <w:spacing w:before="120" w:after="120" w:line="220" w:lineRule="atLeast"/>
      </w:pPr>
      <w:r>
        <w:drawing>
          <wp:inline distT="0" distB="0" distL="0" distR="0">
            <wp:extent cx="5274310" cy="946150"/>
            <wp:effectExtent l="0" t="0" r="2540" b="6350"/>
            <wp:docPr id="28702" name="图片 2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2" name="图片 2870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</w:pPr>
    </w:p>
    <w:p>
      <w:pPr>
        <w:spacing w:before="120" w:after="120" w:line="220" w:lineRule="atLeast"/>
      </w:pPr>
      <w:r>
        <w:drawing>
          <wp:inline distT="0" distB="0" distL="0" distR="0">
            <wp:extent cx="5274310" cy="915670"/>
            <wp:effectExtent l="0" t="0" r="2540" b="0"/>
            <wp:docPr id="28703" name="图片 28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3" name="图片 2870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（图4-4-1-</w:t>
      </w:r>
      <w:r>
        <w:t>5</w:t>
      </w:r>
      <w:r>
        <w:rPr>
          <w:rFonts w:hint="eastAsia"/>
        </w:rPr>
        <w:t>）</w:t>
      </w:r>
    </w:p>
    <w:p>
      <w:pPr>
        <w:spacing w:before="120" w:after="120" w:line="220" w:lineRule="atLeast"/>
      </w:pPr>
    </w:p>
    <w:p>
      <w:pPr>
        <w:pStyle w:val="3"/>
        <w:numPr>
          <w:ilvl w:val="1"/>
          <w:numId w:val="1"/>
        </w:numPr>
        <w:spacing w:before="120" w:after="120"/>
      </w:pPr>
      <w:bookmarkStart w:id="23" w:name="_Toc56084039"/>
      <w:r>
        <w:rPr>
          <w:rFonts w:hint="eastAsia"/>
        </w:rPr>
        <w:t>工人工资管理</w:t>
      </w:r>
      <w:bookmarkEnd w:id="23"/>
    </w:p>
    <w:p>
      <w:pPr>
        <w:pStyle w:val="4"/>
        <w:numPr>
          <w:ilvl w:val="2"/>
          <w:numId w:val="1"/>
        </w:numPr>
        <w:spacing w:before="120" w:after="120"/>
      </w:pPr>
      <w:bookmarkStart w:id="24" w:name="_Toc56084040"/>
      <w:r>
        <w:rPr>
          <w:rFonts w:hint="eastAsia"/>
        </w:rPr>
        <w:t>待发工资</w:t>
      </w:r>
      <w:bookmarkEnd w:id="24"/>
      <w:r>
        <w:rPr>
          <w:rFonts w:hint="eastAsia"/>
        </w:rPr>
        <w:t xml:space="preserve"> </w:t>
      </w:r>
    </w:p>
    <w:p>
      <w:pPr>
        <w:spacing w:before="120" w:after="120"/>
        <w:rPr>
          <w:rFonts w:ascii="宋体" w:hAnsi="宋体" w:cs="Times New Roman"/>
          <w:b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列表</w:t>
      </w:r>
      <w:r>
        <w:rPr>
          <w:rFonts w:hint="eastAsia" w:ascii="宋体" w:hAnsi="宋体" w:cs="Times New Roman"/>
          <w:szCs w:val="24"/>
          <w:lang w:bidi="ar"/>
        </w:rPr>
        <w:t>：（图3-4-1-1）提供根据关键字、月份查询，关键字提供专用账户和班组查询；提供班组、工程名称、工资月份、创建时间、总应发金额、发放人数、状态和文件字段的显示并提供处理操作；</w:t>
      </w:r>
      <w:r>
        <w:rPr>
          <w:rFonts w:ascii="宋体" w:hAnsi="宋体" w:cs="Times New Roman"/>
          <w:szCs w:val="24"/>
          <w:lang w:bidi="ar"/>
        </w:rPr>
        <w:br w:type="textWrapping"/>
      </w:r>
      <w:r>
        <w:rPr>
          <w:rFonts w:hint="eastAsia" w:ascii="宋体" w:hAnsi="宋体" w:cs="Times New Roman"/>
          <w:b/>
          <w:szCs w:val="24"/>
          <w:lang w:bidi="ar"/>
        </w:rPr>
        <w:t>注：只有劳资专员才有待发工资菜单，企业主账号无法显示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szCs w:val="24"/>
          <w:lang w:bidi="ar"/>
        </w:rPr>
        <w:t>待发工资来源：通过佛山农民工工资管理系统制表、审核后，定时器自动获取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1770" cy="99187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362" cy="9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处理</w:t>
      </w:r>
      <w:r>
        <w:rPr>
          <w:rFonts w:hint="eastAsia" w:ascii="宋体" w:hAnsi="宋体"/>
          <w:szCs w:val="24"/>
        </w:rPr>
        <w:t>：（图</w:t>
      </w:r>
      <w:r>
        <w:rPr>
          <w:rFonts w:hint="eastAsia" w:ascii="宋体" w:hAnsi="宋体" w:cs="Times New Roman"/>
          <w:szCs w:val="24"/>
          <w:lang w:bidi="ar"/>
        </w:rPr>
        <w:t>3-4-1-2</w:t>
      </w:r>
      <w:r>
        <w:rPr>
          <w:rFonts w:hint="eastAsia" w:ascii="宋体" w:hAnsi="宋体"/>
          <w:szCs w:val="24"/>
        </w:rPr>
        <w:t>）对待发放的工资进行发放操作；</w:t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drawing>
          <wp:inline distT="0" distB="0" distL="0" distR="0">
            <wp:extent cx="5273675" cy="2167890"/>
            <wp:effectExtent l="0" t="0" r="317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08" cy="21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</w:p>
    <w:p>
      <w:pPr>
        <w:spacing w:before="120" w:after="120"/>
      </w:pPr>
    </w:p>
    <w:p>
      <w:pPr>
        <w:pStyle w:val="4"/>
        <w:numPr>
          <w:ilvl w:val="2"/>
          <w:numId w:val="1"/>
        </w:numPr>
        <w:spacing w:before="120" w:after="120"/>
      </w:pPr>
      <w:bookmarkStart w:id="25" w:name="_Toc56084041"/>
      <w:r>
        <w:rPr>
          <w:rFonts w:hint="eastAsia"/>
        </w:rPr>
        <w:t>工资发放记录</w:t>
      </w:r>
      <w:bookmarkEnd w:id="25"/>
    </w:p>
    <w:p>
      <w:pPr>
        <w:spacing w:before="120" w:after="120"/>
        <w:rPr>
          <w:rFonts w:ascii="宋体" w:hAnsi="宋体" w:cs="Times New Roman"/>
          <w:szCs w:val="24"/>
          <w:lang w:bidi="ar"/>
        </w:rPr>
      </w:pPr>
      <w:r>
        <w:rPr>
          <w:rFonts w:hint="eastAsia" w:ascii="宋体" w:hAnsi="宋体" w:cs="Times New Roman"/>
          <w:b/>
          <w:bCs/>
          <w:szCs w:val="24"/>
          <w:lang w:bidi="ar"/>
        </w:rPr>
        <w:t>列表</w:t>
      </w:r>
      <w:r>
        <w:rPr>
          <w:rFonts w:hint="eastAsia" w:ascii="宋体" w:hAnsi="宋体" w:cs="Times New Roman"/>
          <w:szCs w:val="24"/>
          <w:lang w:bidi="ar"/>
        </w:rPr>
        <w:t>：（图3-4-1-2）提供根据关键字、月份和状态查询，提供班组、工程名称、工资月份、创建时间、总应发金额、到账总金额、发放人数、成功人数、失败人数、发放时间、状态和文件字段的显示并提供查看明细和导出的操作。</w:t>
      </w:r>
    </w:p>
    <w:p>
      <w:pPr>
        <w:spacing w:before="120" w:after="120" w:line="220" w:lineRule="atLeast"/>
      </w:pPr>
      <w:r>
        <w:drawing>
          <wp:inline distT="0" distB="0" distL="0" distR="0">
            <wp:extent cx="5273675" cy="13589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37" cy="135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3-4-2-1</w:t>
      </w:r>
      <w:r>
        <w:rPr>
          <w:rFonts w:hint="eastAsia"/>
        </w:rPr>
        <w:t>）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rPr>
          <w:rFonts w:hint="eastAsia" w:ascii="宋体" w:hAnsi="宋体"/>
          <w:b/>
          <w:bCs/>
          <w:szCs w:val="24"/>
        </w:rPr>
        <w:t>明细</w:t>
      </w:r>
      <w:r>
        <w:rPr>
          <w:rFonts w:hint="eastAsia" w:ascii="宋体" w:hAnsi="宋体"/>
          <w:szCs w:val="24"/>
        </w:rPr>
        <w:t>：（图</w:t>
      </w:r>
      <w:r>
        <w:rPr>
          <w:rFonts w:hint="eastAsia" w:ascii="宋体" w:hAnsi="宋体" w:cs="Times New Roman"/>
          <w:szCs w:val="24"/>
          <w:lang w:bidi="ar"/>
        </w:rPr>
        <w:t>3-4-2-2</w:t>
      </w:r>
      <w:r>
        <w:rPr>
          <w:rFonts w:hint="eastAsia" w:ascii="宋体" w:hAnsi="宋体"/>
          <w:szCs w:val="24"/>
        </w:rPr>
        <w:t>，图</w:t>
      </w:r>
      <w:r>
        <w:rPr>
          <w:rFonts w:hint="eastAsia" w:ascii="宋体" w:hAnsi="宋体" w:cs="Times New Roman"/>
          <w:szCs w:val="24"/>
          <w:lang w:bidi="ar"/>
        </w:rPr>
        <w:t>3-4-2-3</w:t>
      </w:r>
      <w:r>
        <w:rPr>
          <w:rFonts w:hint="eastAsia" w:ascii="宋体" w:hAnsi="宋体"/>
          <w:szCs w:val="24"/>
        </w:rPr>
        <w:t>）查看工资发放记录明细。</w:t>
      </w:r>
    </w:p>
    <w:p>
      <w:pPr>
        <w:spacing w:before="120" w:after="120" w:line="220" w:lineRule="atLeast"/>
        <w:rPr>
          <w:rFonts w:ascii="宋体" w:hAnsi="宋体"/>
          <w:szCs w:val="24"/>
        </w:rPr>
      </w:pPr>
      <w:r>
        <w:drawing>
          <wp:inline distT="0" distB="0" distL="0" distR="0">
            <wp:extent cx="5273675" cy="1102360"/>
            <wp:effectExtent l="0" t="0" r="317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906" cy="11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3-4-2-2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274310" cy="1949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3-4-2-3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both"/>
      </w:pPr>
      <w:r>
        <w:rPr>
          <w:rFonts w:hint="eastAsia"/>
          <w:b/>
          <w:bCs/>
        </w:rPr>
        <w:t>导出</w:t>
      </w:r>
      <w:r>
        <w:rPr>
          <w:rFonts w:hint="eastAsia"/>
        </w:rPr>
        <w:t>：（图</w:t>
      </w:r>
      <w:r>
        <w:rPr>
          <w:rFonts w:hint="eastAsia" w:ascii="宋体" w:hAnsi="宋体" w:cs="Times New Roman"/>
          <w:szCs w:val="24"/>
          <w:lang w:bidi="ar"/>
        </w:rPr>
        <w:t>3-4-2-4</w:t>
      </w:r>
      <w:r>
        <w:rPr>
          <w:rFonts w:hint="eastAsia"/>
        </w:rPr>
        <w:t>，图</w:t>
      </w:r>
      <w:r>
        <w:rPr>
          <w:rFonts w:hint="eastAsia" w:ascii="宋体" w:hAnsi="宋体" w:cs="Times New Roman"/>
          <w:szCs w:val="24"/>
          <w:lang w:bidi="ar"/>
        </w:rPr>
        <w:t>3-4-2-5</w:t>
      </w:r>
      <w:r>
        <w:rPr>
          <w:rFonts w:hint="eastAsia"/>
        </w:rPr>
        <w:t>）点击导出，可导出工资发放记录表</w:t>
      </w:r>
    </w:p>
    <w:p>
      <w:pPr>
        <w:spacing w:before="120" w:after="120" w:line="220" w:lineRule="atLeast"/>
        <w:jc w:val="center"/>
      </w:pPr>
      <w:r>
        <w:drawing>
          <wp:inline distT="0" distB="0" distL="0" distR="0">
            <wp:extent cx="5272405" cy="1111885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30" cy="11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3-4-2-4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both"/>
      </w:pPr>
      <w:r>
        <w:drawing>
          <wp:inline distT="0" distB="0" distL="114300" distR="114300">
            <wp:extent cx="5269865" cy="1428750"/>
            <wp:effectExtent l="0" t="0" r="3175" b="381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8" w:name="_GoBack"/>
      <w:bookmarkEnd w:id="28"/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3-4-2-5</w:t>
      </w:r>
      <w:r>
        <w:rPr>
          <w:rFonts w:hint="eastAsia"/>
        </w:rPr>
        <w:t>）</w:t>
      </w:r>
    </w:p>
    <w:p>
      <w:pPr>
        <w:pStyle w:val="4"/>
        <w:numPr>
          <w:ilvl w:val="2"/>
          <w:numId w:val="1"/>
        </w:numPr>
        <w:spacing w:before="120" w:after="120"/>
      </w:pPr>
      <w:bookmarkStart w:id="26" w:name="_Toc56084042"/>
      <w:r>
        <w:rPr>
          <w:rFonts w:hint="eastAsia"/>
        </w:rPr>
        <w:t>工资发放明细表</w:t>
      </w:r>
      <w:bookmarkEnd w:id="26"/>
    </w:p>
    <w:p>
      <w:pPr>
        <w:spacing w:before="120" w:after="120" w:line="220" w:lineRule="atLeast"/>
      </w:pPr>
      <w:r>
        <w:rPr>
          <w:rFonts w:hint="eastAsia" w:ascii="宋体" w:hAnsi="宋体"/>
          <w:szCs w:val="24"/>
        </w:rPr>
        <w:t>列表：</w:t>
      </w: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3-4-3-1</w:t>
      </w:r>
      <w:r>
        <w:rPr>
          <w:rFonts w:hint="eastAsia"/>
        </w:rPr>
        <w:t>）</w:t>
      </w:r>
      <w:r>
        <w:rPr>
          <w:rFonts w:hint="eastAsia" w:ascii="宋体" w:hAnsi="宋体"/>
          <w:szCs w:val="24"/>
        </w:rPr>
        <w:t>提供根据关键字、月份、发放时间、状态和实发金额区间查询，提供专用账户号、工程、姓名、工资卡号、工资卡开户行名称、月份、发放时间、实发金额、状态和失败原因字段的显示和导出操作。</w:t>
      </w:r>
    </w:p>
    <w:p>
      <w:pPr>
        <w:spacing w:before="120" w:after="120" w:line="220" w:lineRule="atLeast"/>
        <w:jc w:val="both"/>
        <w:rPr>
          <w:rFonts w:ascii="宋体" w:hAnsi="宋体"/>
          <w:szCs w:val="24"/>
        </w:rPr>
      </w:pPr>
      <w:r>
        <w:drawing>
          <wp:inline distT="0" distB="0" distL="0" distR="0">
            <wp:extent cx="5274310" cy="13550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20" w:lineRule="atLeast"/>
        <w:jc w:val="center"/>
      </w:pPr>
      <w:r>
        <w:rPr>
          <w:rFonts w:hint="eastAsia"/>
        </w:rPr>
        <w:t>（图</w:t>
      </w:r>
      <w:r>
        <w:rPr>
          <w:rFonts w:hint="eastAsia" w:ascii="宋体" w:hAnsi="宋体" w:cs="Times New Roman"/>
          <w:szCs w:val="24"/>
          <w:lang w:bidi="ar"/>
        </w:rPr>
        <w:t>3-4-3-1</w:t>
      </w:r>
      <w:r>
        <w:rPr>
          <w:rFonts w:hint="eastAsia"/>
        </w:rPr>
        <w:t>）</w:t>
      </w:r>
    </w:p>
    <w:p>
      <w:pPr>
        <w:spacing w:before="120" w:after="120" w:line="220" w:lineRule="atLeast"/>
        <w:jc w:val="center"/>
      </w:pPr>
    </w:p>
    <w:p>
      <w:pPr>
        <w:spacing w:before="120" w:after="120" w:line="220" w:lineRule="atLeast"/>
        <w:jc w:val="center"/>
      </w:pPr>
    </w:p>
    <w:p>
      <w:pPr>
        <w:pStyle w:val="2"/>
        <w:numPr>
          <w:ilvl w:val="0"/>
          <w:numId w:val="1"/>
        </w:numPr>
        <w:spacing w:before="120" w:after="120"/>
        <w:rPr>
          <w:sz w:val="32"/>
          <w:szCs w:val="32"/>
        </w:rPr>
      </w:pPr>
      <w:bookmarkStart w:id="27" w:name="_Toc56084043"/>
      <w:r>
        <w:rPr>
          <w:rFonts w:hint="eastAsia"/>
          <w:sz w:val="32"/>
          <w:szCs w:val="32"/>
        </w:rPr>
        <w:t>单位用户角色主要功能描述</w:t>
      </w:r>
      <w:bookmarkEnd w:id="27"/>
    </w:p>
    <w:p>
      <w:pPr>
        <w:spacing w:before="120" w:after="120"/>
      </w:pPr>
      <w:r>
        <w:drawing>
          <wp:inline distT="0" distB="0" distL="0" distR="0">
            <wp:extent cx="5274310" cy="1339215"/>
            <wp:effectExtent l="0" t="0" r="2540" b="0"/>
            <wp:docPr id="28708" name="图片 2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8" name="图片 2870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</w:p>
    <w:p>
      <w:pPr>
        <w:spacing w:before="120" w:after="120"/>
      </w:pPr>
      <w:r>
        <w:rPr>
          <w:rFonts w:hint="eastAsia"/>
        </w:rPr>
        <w:t>更新时间：2020年05月12日   版本号：V1.01</w:t>
      </w:r>
    </w:p>
    <w:p>
      <w:pPr>
        <w:spacing w:before="120" w:after="120"/>
      </w:pPr>
      <w:r>
        <w:rPr>
          <w:rFonts w:hint="eastAsia"/>
        </w:rPr>
        <w:t>更新内容：</w:t>
      </w:r>
      <w:r>
        <w:br w:type="textWrapping"/>
      </w:r>
      <w:r>
        <w:rPr>
          <w:rFonts w:hint="eastAsia"/>
        </w:rPr>
        <w:t>1、用户管理</w:t>
      </w:r>
      <w:r>
        <w:rPr/>
        <w:sym w:font="Wingdings" w:char="F0E0"/>
      </w:r>
      <w:r>
        <w:rPr>
          <w:rFonts w:hint="eastAsia"/>
        </w:rPr>
        <w:t>企业信息、用户管理操作功能更新；</w:t>
      </w:r>
      <w:r>
        <w:br w:type="textWrapping"/>
      </w:r>
      <w:r>
        <w:rPr>
          <w:rFonts w:hint="eastAsia"/>
        </w:rPr>
        <w:t>2、工程管理</w:t>
      </w:r>
      <w:r>
        <w:rPr/>
        <w:sym w:font="Wingdings" w:char="F0E0"/>
      </w:r>
      <w:r>
        <w:rPr>
          <w:rFonts w:hint="eastAsia"/>
        </w:rPr>
        <w:t>工程管理、账户活期明细操作功能更新；</w:t>
      </w:r>
      <w:r>
        <w:br w:type="textWrapping"/>
      </w:r>
      <w:r>
        <w:rPr>
          <w:rFonts w:hint="eastAsia"/>
        </w:rPr>
        <w:t>3、工人工资管理</w:t>
      </w:r>
      <w:r>
        <w:rPr/>
        <w:sym w:font="Wingdings" w:char="F0E0"/>
      </w:r>
      <w:r>
        <w:rPr>
          <w:rFonts w:hint="eastAsia"/>
        </w:rPr>
        <w:t>工资发放、工资发放明细表操作功能更新；</w:t>
      </w:r>
    </w:p>
    <w:sectPr>
      <w:headerReference r:id="rId11" w:type="default"/>
      <w:footerReference r:id="rId12" w:type="default"/>
      <w:pgSz w:w="11906" w:h="16838"/>
      <w:pgMar w:top="1440" w:right="1800" w:bottom="1440" w:left="180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3418189"/>
    </w:sdtPr>
    <w:sdtContent>
      <w:p>
        <w:pPr>
          <w:pStyle w:val="8"/>
          <w:spacing w:before="120" w:after="12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28</w:t>
        </w:r>
        <w:r>
          <w:fldChar w:fldCharType="end"/>
        </w:r>
      </w:p>
    </w:sdtContent>
  </w:sdt>
  <w:p>
    <w:pPr>
      <w:pStyle w:val="8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580837"/>
    <w:multiLevelType w:val="multilevel"/>
    <w:tmpl w:val="0258083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eastAsia" w:ascii="宋体" w:hAnsi="宋体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eastAsia" w:ascii="宋体" w:hAnsi="宋体"/>
      </w:rPr>
    </w:lvl>
    <w:lvl w:ilvl="3" w:tentative="0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1">
    <w:nsid w:val="62D145F3"/>
    <w:multiLevelType w:val="multilevel"/>
    <w:tmpl w:val="62D145F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4ZDdjODExMTlhNzFkOWNjN2ZmMmUwNjZlOTY3NmIifQ=="/>
  </w:docVars>
  <w:rsids>
    <w:rsidRoot w:val="004F48F0"/>
    <w:rsid w:val="000035F6"/>
    <w:rsid w:val="000036DC"/>
    <w:rsid w:val="0001252B"/>
    <w:rsid w:val="00017CAA"/>
    <w:rsid w:val="000211A3"/>
    <w:rsid w:val="00027DFB"/>
    <w:rsid w:val="00030FE7"/>
    <w:rsid w:val="00031B0E"/>
    <w:rsid w:val="00033FC3"/>
    <w:rsid w:val="00051731"/>
    <w:rsid w:val="00055606"/>
    <w:rsid w:val="00055882"/>
    <w:rsid w:val="00073D8D"/>
    <w:rsid w:val="00077680"/>
    <w:rsid w:val="00080B69"/>
    <w:rsid w:val="0008727D"/>
    <w:rsid w:val="00087670"/>
    <w:rsid w:val="0009028C"/>
    <w:rsid w:val="0009383A"/>
    <w:rsid w:val="000A1B32"/>
    <w:rsid w:val="000B35AA"/>
    <w:rsid w:val="000C03CE"/>
    <w:rsid w:val="000C52B1"/>
    <w:rsid w:val="000C6F51"/>
    <w:rsid w:val="000D0830"/>
    <w:rsid w:val="000D5AAD"/>
    <w:rsid w:val="000E0FC1"/>
    <w:rsid w:val="000E4DF3"/>
    <w:rsid w:val="000E6244"/>
    <w:rsid w:val="000E6A63"/>
    <w:rsid w:val="0010097C"/>
    <w:rsid w:val="00101A2A"/>
    <w:rsid w:val="00107C8A"/>
    <w:rsid w:val="00110209"/>
    <w:rsid w:val="00110A14"/>
    <w:rsid w:val="001148B9"/>
    <w:rsid w:val="00117DEA"/>
    <w:rsid w:val="00125F56"/>
    <w:rsid w:val="001277E2"/>
    <w:rsid w:val="001304B0"/>
    <w:rsid w:val="00130D18"/>
    <w:rsid w:val="00131F14"/>
    <w:rsid w:val="00132CDE"/>
    <w:rsid w:val="00134C98"/>
    <w:rsid w:val="001353D4"/>
    <w:rsid w:val="00140615"/>
    <w:rsid w:val="0015554D"/>
    <w:rsid w:val="00156841"/>
    <w:rsid w:val="001568E5"/>
    <w:rsid w:val="001644A2"/>
    <w:rsid w:val="001673DF"/>
    <w:rsid w:val="0016790C"/>
    <w:rsid w:val="001713F6"/>
    <w:rsid w:val="00171476"/>
    <w:rsid w:val="001735BA"/>
    <w:rsid w:val="00174E0D"/>
    <w:rsid w:val="00175755"/>
    <w:rsid w:val="00177EA9"/>
    <w:rsid w:val="0018717C"/>
    <w:rsid w:val="00187187"/>
    <w:rsid w:val="00187BB0"/>
    <w:rsid w:val="001905B9"/>
    <w:rsid w:val="00191158"/>
    <w:rsid w:val="001948A6"/>
    <w:rsid w:val="001B04C6"/>
    <w:rsid w:val="001B4BE0"/>
    <w:rsid w:val="001B66AA"/>
    <w:rsid w:val="001D5A3B"/>
    <w:rsid w:val="001E2404"/>
    <w:rsid w:val="001E58AD"/>
    <w:rsid w:val="001E6105"/>
    <w:rsid w:val="001F5A8D"/>
    <w:rsid w:val="001F7207"/>
    <w:rsid w:val="00200A93"/>
    <w:rsid w:val="0020375B"/>
    <w:rsid w:val="00203F74"/>
    <w:rsid w:val="002077BB"/>
    <w:rsid w:val="002123CE"/>
    <w:rsid w:val="0021396C"/>
    <w:rsid w:val="00224D00"/>
    <w:rsid w:val="00225528"/>
    <w:rsid w:val="00225AA1"/>
    <w:rsid w:val="00226239"/>
    <w:rsid w:val="00230455"/>
    <w:rsid w:val="00230CA9"/>
    <w:rsid w:val="00240E84"/>
    <w:rsid w:val="00246183"/>
    <w:rsid w:val="0024761C"/>
    <w:rsid w:val="00247D98"/>
    <w:rsid w:val="00253C96"/>
    <w:rsid w:val="00264FC0"/>
    <w:rsid w:val="00265951"/>
    <w:rsid w:val="00267620"/>
    <w:rsid w:val="002730C2"/>
    <w:rsid w:val="002736E1"/>
    <w:rsid w:val="002740E3"/>
    <w:rsid w:val="002774B2"/>
    <w:rsid w:val="002912B3"/>
    <w:rsid w:val="00293222"/>
    <w:rsid w:val="00295DB5"/>
    <w:rsid w:val="002B277D"/>
    <w:rsid w:val="002B4F27"/>
    <w:rsid w:val="002C1800"/>
    <w:rsid w:val="002D212B"/>
    <w:rsid w:val="002D598C"/>
    <w:rsid w:val="002D7AFD"/>
    <w:rsid w:val="002D7E61"/>
    <w:rsid w:val="002E0353"/>
    <w:rsid w:val="002E43E8"/>
    <w:rsid w:val="002E7991"/>
    <w:rsid w:val="002F1145"/>
    <w:rsid w:val="00304081"/>
    <w:rsid w:val="003040E4"/>
    <w:rsid w:val="00305E0B"/>
    <w:rsid w:val="00306C93"/>
    <w:rsid w:val="00307D77"/>
    <w:rsid w:val="00312ACD"/>
    <w:rsid w:val="003169CD"/>
    <w:rsid w:val="0031708A"/>
    <w:rsid w:val="00324324"/>
    <w:rsid w:val="00345A0E"/>
    <w:rsid w:val="00347B4C"/>
    <w:rsid w:val="0036165C"/>
    <w:rsid w:val="00361689"/>
    <w:rsid w:val="00371DF6"/>
    <w:rsid w:val="0037239D"/>
    <w:rsid w:val="00381579"/>
    <w:rsid w:val="00386AC0"/>
    <w:rsid w:val="00390F0B"/>
    <w:rsid w:val="003943AE"/>
    <w:rsid w:val="003A6899"/>
    <w:rsid w:val="003B01EB"/>
    <w:rsid w:val="003B1CB2"/>
    <w:rsid w:val="003C0BC4"/>
    <w:rsid w:val="003C4201"/>
    <w:rsid w:val="003C6740"/>
    <w:rsid w:val="003E5A2A"/>
    <w:rsid w:val="003E5FDF"/>
    <w:rsid w:val="003E7BE6"/>
    <w:rsid w:val="003F2336"/>
    <w:rsid w:val="003F2DF0"/>
    <w:rsid w:val="003F3606"/>
    <w:rsid w:val="003F433C"/>
    <w:rsid w:val="004009B9"/>
    <w:rsid w:val="00401A60"/>
    <w:rsid w:val="0040244D"/>
    <w:rsid w:val="00403A89"/>
    <w:rsid w:val="0040716A"/>
    <w:rsid w:val="004072D4"/>
    <w:rsid w:val="0042157B"/>
    <w:rsid w:val="0042257A"/>
    <w:rsid w:val="004278C0"/>
    <w:rsid w:val="00432AD5"/>
    <w:rsid w:val="004338BC"/>
    <w:rsid w:val="00434832"/>
    <w:rsid w:val="0043596F"/>
    <w:rsid w:val="0044177C"/>
    <w:rsid w:val="004473DA"/>
    <w:rsid w:val="004558B9"/>
    <w:rsid w:val="004574A8"/>
    <w:rsid w:val="004607CC"/>
    <w:rsid w:val="0046360E"/>
    <w:rsid w:val="00463D86"/>
    <w:rsid w:val="0046414A"/>
    <w:rsid w:val="004646F2"/>
    <w:rsid w:val="00466AB2"/>
    <w:rsid w:val="00470653"/>
    <w:rsid w:val="00472FD8"/>
    <w:rsid w:val="00477323"/>
    <w:rsid w:val="0048500B"/>
    <w:rsid w:val="00486432"/>
    <w:rsid w:val="00486A21"/>
    <w:rsid w:val="004959B8"/>
    <w:rsid w:val="00495FEA"/>
    <w:rsid w:val="004A0C93"/>
    <w:rsid w:val="004B05E5"/>
    <w:rsid w:val="004B46BC"/>
    <w:rsid w:val="004B7273"/>
    <w:rsid w:val="004C0FF4"/>
    <w:rsid w:val="004C15BF"/>
    <w:rsid w:val="004C627F"/>
    <w:rsid w:val="004C64E4"/>
    <w:rsid w:val="004C694E"/>
    <w:rsid w:val="004D205A"/>
    <w:rsid w:val="004D717A"/>
    <w:rsid w:val="004E5072"/>
    <w:rsid w:val="004E6BAD"/>
    <w:rsid w:val="004F48F0"/>
    <w:rsid w:val="004F7F4D"/>
    <w:rsid w:val="005007A8"/>
    <w:rsid w:val="0051534E"/>
    <w:rsid w:val="005158AA"/>
    <w:rsid w:val="005202F6"/>
    <w:rsid w:val="00520413"/>
    <w:rsid w:val="00521AA8"/>
    <w:rsid w:val="0052594B"/>
    <w:rsid w:val="00526169"/>
    <w:rsid w:val="0052737C"/>
    <w:rsid w:val="00530A6F"/>
    <w:rsid w:val="00531875"/>
    <w:rsid w:val="005324AD"/>
    <w:rsid w:val="005351EA"/>
    <w:rsid w:val="00544127"/>
    <w:rsid w:val="00544922"/>
    <w:rsid w:val="00545565"/>
    <w:rsid w:val="00546A4A"/>
    <w:rsid w:val="00556741"/>
    <w:rsid w:val="00556E4E"/>
    <w:rsid w:val="00561FAB"/>
    <w:rsid w:val="00563CFE"/>
    <w:rsid w:val="0056599A"/>
    <w:rsid w:val="005756F9"/>
    <w:rsid w:val="00576656"/>
    <w:rsid w:val="00581519"/>
    <w:rsid w:val="00585E08"/>
    <w:rsid w:val="00592C92"/>
    <w:rsid w:val="00592D0A"/>
    <w:rsid w:val="00595F57"/>
    <w:rsid w:val="005971A1"/>
    <w:rsid w:val="005A0801"/>
    <w:rsid w:val="005A48A7"/>
    <w:rsid w:val="005B1F51"/>
    <w:rsid w:val="005B2312"/>
    <w:rsid w:val="005B3DD8"/>
    <w:rsid w:val="005C4BFC"/>
    <w:rsid w:val="005C6946"/>
    <w:rsid w:val="005C73EF"/>
    <w:rsid w:val="005E3E49"/>
    <w:rsid w:val="005E72B0"/>
    <w:rsid w:val="005F069F"/>
    <w:rsid w:val="005F2024"/>
    <w:rsid w:val="005F67AB"/>
    <w:rsid w:val="0060037A"/>
    <w:rsid w:val="0060316D"/>
    <w:rsid w:val="006065BE"/>
    <w:rsid w:val="00610597"/>
    <w:rsid w:val="00614E4B"/>
    <w:rsid w:val="00617681"/>
    <w:rsid w:val="00617F5E"/>
    <w:rsid w:val="00623564"/>
    <w:rsid w:val="00627676"/>
    <w:rsid w:val="006303F6"/>
    <w:rsid w:val="00631E6D"/>
    <w:rsid w:val="00641F64"/>
    <w:rsid w:val="0064228B"/>
    <w:rsid w:val="00644385"/>
    <w:rsid w:val="00645DD1"/>
    <w:rsid w:val="006474FE"/>
    <w:rsid w:val="00653190"/>
    <w:rsid w:val="0065785F"/>
    <w:rsid w:val="00657D53"/>
    <w:rsid w:val="006613CD"/>
    <w:rsid w:val="006632FD"/>
    <w:rsid w:val="00676617"/>
    <w:rsid w:val="0067703C"/>
    <w:rsid w:val="006941A0"/>
    <w:rsid w:val="00697328"/>
    <w:rsid w:val="00697836"/>
    <w:rsid w:val="006A1894"/>
    <w:rsid w:val="006A1DA5"/>
    <w:rsid w:val="006A551E"/>
    <w:rsid w:val="006A7953"/>
    <w:rsid w:val="006B01F6"/>
    <w:rsid w:val="006B2212"/>
    <w:rsid w:val="006B3E2F"/>
    <w:rsid w:val="006B7169"/>
    <w:rsid w:val="006C15A6"/>
    <w:rsid w:val="006C4F5E"/>
    <w:rsid w:val="006E40A8"/>
    <w:rsid w:val="006F1F63"/>
    <w:rsid w:val="006F24B6"/>
    <w:rsid w:val="00700B3F"/>
    <w:rsid w:val="007045D9"/>
    <w:rsid w:val="00705A78"/>
    <w:rsid w:val="00706F02"/>
    <w:rsid w:val="00727CD8"/>
    <w:rsid w:val="00732578"/>
    <w:rsid w:val="00734777"/>
    <w:rsid w:val="00734A0F"/>
    <w:rsid w:val="00741970"/>
    <w:rsid w:val="007420A3"/>
    <w:rsid w:val="007429FE"/>
    <w:rsid w:val="007437D2"/>
    <w:rsid w:val="00745167"/>
    <w:rsid w:val="00746523"/>
    <w:rsid w:val="00751DEE"/>
    <w:rsid w:val="00753407"/>
    <w:rsid w:val="00756E16"/>
    <w:rsid w:val="00761C9B"/>
    <w:rsid w:val="007630D4"/>
    <w:rsid w:val="00774E85"/>
    <w:rsid w:val="00775840"/>
    <w:rsid w:val="00775890"/>
    <w:rsid w:val="007770AB"/>
    <w:rsid w:val="00783E9C"/>
    <w:rsid w:val="0078561E"/>
    <w:rsid w:val="0079125A"/>
    <w:rsid w:val="00795C88"/>
    <w:rsid w:val="007A262B"/>
    <w:rsid w:val="007A31AE"/>
    <w:rsid w:val="007A5A16"/>
    <w:rsid w:val="007A5FE4"/>
    <w:rsid w:val="007B11E8"/>
    <w:rsid w:val="007B528A"/>
    <w:rsid w:val="007C0031"/>
    <w:rsid w:val="007C1066"/>
    <w:rsid w:val="007C7033"/>
    <w:rsid w:val="007D2966"/>
    <w:rsid w:val="007D49D5"/>
    <w:rsid w:val="007D4F25"/>
    <w:rsid w:val="007E442A"/>
    <w:rsid w:val="007E5F02"/>
    <w:rsid w:val="007E6650"/>
    <w:rsid w:val="007F372E"/>
    <w:rsid w:val="00802971"/>
    <w:rsid w:val="008162E7"/>
    <w:rsid w:val="008212D4"/>
    <w:rsid w:val="0082204E"/>
    <w:rsid w:val="00823F68"/>
    <w:rsid w:val="008243EA"/>
    <w:rsid w:val="00833ECB"/>
    <w:rsid w:val="00841157"/>
    <w:rsid w:val="00843170"/>
    <w:rsid w:val="0085170F"/>
    <w:rsid w:val="00851D0C"/>
    <w:rsid w:val="00860A5B"/>
    <w:rsid w:val="00863D66"/>
    <w:rsid w:val="00867639"/>
    <w:rsid w:val="00874399"/>
    <w:rsid w:val="00874D79"/>
    <w:rsid w:val="00880B3B"/>
    <w:rsid w:val="00890F52"/>
    <w:rsid w:val="0089261A"/>
    <w:rsid w:val="0089323D"/>
    <w:rsid w:val="00893CD2"/>
    <w:rsid w:val="008B30E5"/>
    <w:rsid w:val="008B6EB3"/>
    <w:rsid w:val="008C0F8F"/>
    <w:rsid w:val="008C6798"/>
    <w:rsid w:val="008C7512"/>
    <w:rsid w:val="008D6DD5"/>
    <w:rsid w:val="008F1084"/>
    <w:rsid w:val="008F5188"/>
    <w:rsid w:val="008F555A"/>
    <w:rsid w:val="008F648B"/>
    <w:rsid w:val="008F6781"/>
    <w:rsid w:val="00907156"/>
    <w:rsid w:val="00907842"/>
    <w:rsid w:val="00911DA8"/>
    <w:rsid w:val="009131A0"/>
    <w:rsid w:val="00922E89"/>
    <w:rsid w:val="009242A3"/>
    <w:rsid w:val="009258B5"/>
    <w:rsid w:val="00926B80"/>
    <w:rsid w:val="0093103A"/>
    <w:rsid w:val="0093431B"/>
    <w:rsid w:val="009345F8"/>
    <w:rsid w:val="00935221"/>
    <w:rsid w:val="009361ED"/>
    <w:rsid w:val="0093678B"/>
    <w:rsid w:val="009369BD"/>
    <w:rsid w:val="00953156"/>
    <w:rsid w:val="00957A13"/>
    <w:rsid w:val="00964226"/>
    <w:rsid w:val="0097273F"/>
    <w:rsid w:val="00973AF6"/>
    <w:rsid w:val="00990EB0"/>
    <w:rsid w:val="00992992"/>
    <w:rsid w:val="00993AF9"/>
    <w:rsid w:val="0099447F"/>
    <w:rsid w:val="009A737F"/>
    <w:rsid w:val="009A7789"/>
    <w:rsid w:val="009B3FB3"/>
    <w:rsid w:val="009D0C8A"/>
    <w:rsid w:val="009D1000"/>
    <w:rsid w:val="009D49A9"/>
    <w:rsid w:val="009D699F"/>
    <w:rsid w:val="009E22BB"/>
    <w:rsid w:val="009E5B1B"/>
    <w:rsid w:val="009E5E7D"/>
    <w:rsid w:val="00A05979"/>
    <w:rsid w:val="00A10D89"/>
    <w:rsid w:val="00A155D3"/>
    <w:rsid w:val="00A2150B"/>
    <w:rsid w:val="00A215D9"/>
    <w:rsid w:val="00A27411"/>
    <w:rsid w:val="00A27E84"/>
    <w:rsid w:val="00A33CFD"/>
    <w:rsid w:val="00A41E6B"/>
    <w:rsid w:val="00A540EC"/>
    <w:rsid w:val="00A56312"/>
    <w:rsid w:val="00A5730F"/>
    <w:rsid w:val="00A60520"/>
    <w:rsid w:val="00A62506"/>
    <w:rsid w:val="00A62946"/>
    <w:rsid w:val="00A63B4F"/>
    <w:rsid w:val="00A660BF"/>
    <w:rsid w:val="00A70055"/>
    <w:rsid w:val="00A76138"/>
    <w:rsid w:val="00A83CA4"/>
    <w:rsid w:val="00A84EE3"/>
    <w:rsid w:val="00A93F9F"/>
    <w:rsid w:val="00A970AF"/>
    <w:rsid w:val="00AA23E8"/>
    <w:rsid w:val="00AA3C90"/>
    <w:rsid w:val="00AA3E5D"/>
    <w:rsid w:val="00AB0676"/>
    <w:rsid w:val="00AB0DAB"/>
    <w:rsid w:val="00AB1975"/>
    <w:rsid w:val="00AC2AB1"/>
    <w:rsid w:val="00AC3F33"/>
    <w:rsid w:val="00AC7A33"/>
    <w:rsid w:val="00AD677C"/>
    <w:rsid w:val="00AD702F"/>
    <w:rsid w:val="00AE0096"/>
    <w:rsid w:val="00AE266A"/>
    <w:rsid w:val="00AE2F42"/>
    <w:rsid w:val="00AE6AF9"/>
    <w:rsid w:val="00AE6B0D"/>
    <w:rsid w:val="00AF7599"/>
    <w:rsid w:val="00B009B3"/>
    <w:rsid w:val="00B01151"/>
    <w:rsid w:val="00B0376F"/>
    <w:rsid w:val="00B10880"/>
    <w:rsid w:val="00B14F24"/>
    <w:rsid w:val="00B1699F"/>
    <w:rsid w:val="00B21B09"/>
    <w:rsid w:val="00B3112D"/>
    <w:rsid w:val="00B35134"/>
    <w:rsid w:val="00B42829"/>
    <w:rsid w:val="00B45947"/>
    <w:rsid w:val="00B4796B"/>
    <w:rsid w:val="00B5144F"/>
    <w:rsid w:val="00B52781"/>
    <w:rsid w:val="00B5699D"/>
    <w:rsid w:val="00B70461"/>
    <w:rsid w:val="00B71263"/>
    <w:rsid w:val="00B7176D"/>
    <w:rsid w:val="00B728A8"/>
    <w:rsid w:val="00B72D7D"/>
    <w:rsid w:val="00B72D95"/>
    <w:rsid w:val="00B767AB"/>
    <w:rsid w:val="00B77370"/>
    <w:rsid w:val="00B778AB"/>
    <w:rsid w:val="00B96CA0"/>
    <w:rsid w:val="00BA1DD1"/>
    <w:rsid w:val="00BA42E7"/>
    <w:rsid w:val="00BA4F72"/>
    <w:rsid w:val="00BA5FCA"/>
    <w:rsid w:val="00BA69CC"/>
    <w:rsid w:val="00BB1C15"/>
    <w:rsid w:val="00BB3212"/>
    <w:rsid w:val="00BC415B"/>
    <w:rsid w:val="00BC4416"/>
    <w:rsid w:val="00BD01D3"/>
    <w:rsid w:val="00BD4ED1"/>
    <w:rsid w:val="00BE20A8"/>
    <w:rsid w:val="00BE5E3A"/>
    <w:rsid w:val="00BE6393"/>
    <w:rsid w:val="00BE7735"/>
    <w:rsid w:val="00BF13E6"/>
    <w:rsid w:val="00BF1ADE"/>
    <w:rsid w:val="00C015CA"/>
    <w:rsid w:val="00C05D17"/>
    <w:rsid w:val="00C061B4"/>
    <w:rsid w:val="00C21DAF"/>
    <w:rsid w:val="00C24BF1"/>
    <w:rsid w:val="00C30024"/>
    <w:rsid w:val="00C337F9"/>
    <w:rsid w:val="00C4668A"/>
    <w:rsid w:val="00C54C84"/>
    <w:rsid w:val="00C60B6E"/>
    <w:rsid w:val="00C61651"/>
    <w:rsid w:val="00C64CF1"/>
    <w:rsid w:val="00C65C71"/>
    <w:rsid w:val="00C65F60"/>
    <w:rsid w:val="00C7236E"/>
    <w:rsid w:val="00C80F0D"/>
    <w:rsid w:val="00C841AE"/>
    <w:rsid w:val="00C85691"/>
    <w:rsid w:val="00C90150"/>
    <w:rsid w:val="00C9015E"/>
    <w:rsid w:val="00C95C71"/>
    <w:rsid w:val="00CA04C2"/>
    <w:rsid w:val="00CC0414"/>
    <w:rsid w:val="00CC1D60"/>
    <w:rsid w:val="00CC1F2F"/>
    <w:rsid w:val="00CC32DC"/>
    <w:rsid w:val="00CC3F31"/>
    <w:rsid w:val="00CC7D39"/>
    <w:rsid w:val="00CD0B90"/>
    <w:rsid w:val="00CD0E63"/>
    <w:rsid w:val="00CD6066"/>
    <w:rsid w:val="00CE1975"/>
    <w:rsid w:val="00CF0CB4"/>
    <w:rsid w:val="00CF3606"/>
    <w:rsid w:val="00CF6B1A"/>
    <w:rsid w:val="00D0080E"/>
    <w:rsid w:val="00D07A2B"/>
    <w:rsid w:val="00D121C5"/>
    <w:rsid w:val="00D14748"/>
    <w:rsid w:val="00D25147"/>
    <w:rsid w:val="00D3230F"/>
    <w:rsid w:val="00D33179"/>
    <w:rsid w:val="00D33CD0"/>
    <w:rsid w:val="00D35B54"/>
    <w:rsid w:val="00D3788B"/>
    <w:rsid w:val="00D42183"/>
    <w:rsid w:val="00D42C64"/>
    <w:rsid w:val="00D44B14"/>
    <w:rsid w:val="00D4682D"/>
    <w:rsid w:val="00D53387"/>
    <w:rsid w:val="00D54BFE"/>
    <w:rsid w:val="00D57BB0"/>
    <w:rsid w:val="00D65477"/>
    <w:rsid w:val="00D66D7B"/>
    <w:rsid w:val="00D70252"/>
    <w:rsid w:val="00D760A8"/>
    <w:rsid w:val="00D76509"/>
    <w:rsid w:val="00D771A2"/>
    <w:rsid w:val="00D77AB6"/>
    <w:rsid w:val="00D852B2"/>
    <w:rsid w:val="00D85334"/>
    <w:rsid w:val="00D857FA"/>
    <w:rsid w:val="00D860EB"/>
    <w:rsid w:val="00D87C49"/>
    <w:rsid w:val="00D93740"/>
    <w:rsid w:val="00D95D9F"/>
    <w:rsid w:val="00D97269"/>
    <w:rsid w:val="00DA5A73"/>
    <w:rsid w:val="00DB0828"/>
    <w:rsid w:val="00DB181D"/>
    <w:rsid w:val="00DB2307"/>
    <w:rsid w:val="00DB70CE"/>
    <w:rsid w:val="00DC5E30"/>
    <w:rsid w:val="00DC660F"/>
    <w:rsid w:val="00DC7326"/>
    <w:rsid w:val="00DD2F8D"/>
    <w:rsid w:val="00DD4295"/>
    <w:rsid w:val="00DE531A"/>
    <w:rsid w:val="00DE642C"/>
    <w:rsid w:val="00DE74FB"/>
    <w:rsid w:val="00DE7F38"/>
    <w:rsid w:val="00DF78AD"/>
    <w:rsid w:val="00E02E58"/>
    <w:rsid w:val="00E0322B"/>
    <w:rsid w:val="00E12814"/>
    <w:rsid w:val="00E13214"/>
    <w:rsid w:val="00E14D1B"/>
    <w:rsid w:val="00E1508F"/>
    <w:rsid w:val="00E1645B"/>
    <w:rsid w:val="00E16985"/>
    <w:rsid w:val="00E1784B"/>
    <w:rsid w:val="00E30372"/>
    <w:rsid w:val="00E31224"/>
    <w:rsid w:val="00E4270B"/>
    <w:rsid w:val="00E4461B"/>
    <w:rsid w:val="00E450AD"/>
    <w:rsid w:val="00E47CEF"/>
    <w:rsid w:val="00E70275"/>
    <w:rsid w:val="00E71949"/>
    <w:rsid w:val="00E77982"/>
    <w:rsid w:val="00E86ABA"/>
    <w:rsid w:val="00E93B11"/>
    <w:rsid w:val="00E9407F"/>
    <w:rsid w:val="00E942A8"/>
    <w:rsid w:val="00E96DD4"/>
    <w:rsid w:val="00EA0698"/>
    <w:rsid w:val="00EA2110"/>
    <w:rsid w:val="00EA32D1"/>
    <w:rsid w:val="00EA5754"/>
    <w:rsid w:val="00EA5F09"/>
    <w:rsid w:val="00EA7B3A"/>
    <w:rsid w:val="00EB0ED5"/>
    <w:rsid w:val="00EB3DD6"/>
    <w:rsid w:val="00EB6C73"/>
    <w:rsid w:val="00ED12B3"/>
    <w:rsid w:val="00ED4278"/>
    <w:rsid w:val="00ED790B"/>
    <w:rsid w:val="00EE2E9D"/>
    <w:rsid w:val="00EE561B"/>
    <w:rsid w:val="00EE62EE"/>
    <w:rsid w:val="00EF1554"/>
    <w:rsid w:val="00EF58F7"/>
    <w:rsid w:val="00F04583"/>
    <w:rsid w:val="00F046B7"/>
    <w:rsid w:val="00F07C44"/>
    <w:rsid w:val="00F1177B"/>
    <w:rsid w:val="00F119C4"/>
    <w:rsid w:val="00F1322A"/>
    <w:rsid w:val="00F136BF"/>
    <w:rsid w:val="00F240D1"/>
    <w:rsid w:val="00F24EC0"/>
    <w:rsid w:val="00F317A5"/>
    <w:rsid w:val="00F328C6"/>
    <w:rsid w:val="00F437EB"/>
    <w:rsid w:val="00F44312"/>
    <w:rsid w:val="00F44F95"/>
    <w:rsid w:val="00F50AAF"/>
    <w:rsid w:val="00F61FB8"/>
    <w:rsid w:val="00F63A07"/>
    <w:rsid w:val="00F64D1D"/>
    <w:rsid w:val="00F6537A"/>
    <w:rsid w:val="00F67A6D"/>
    <w:rsid w:val="00F72784"/>
    <w:rsid w:val="00F75443"/>
    <w:rsid w:val="00F7696A"/>
    <w:rsid w:val="00F82A5A"/>
    <w:rsid w:val="00F8447C"/>
    <w:rsid w:val="00F95A5D"/>
    <w:rsid w:val="00F97804"/>
    <w:rsid w:val="00FA096B"/>
    <w:rsid w:val="00FA2E64"/>
    <w:rsid w:val="00FA309C"/>
    <w:rsid w:val="00FB3062"/>
    <w:rsid w:val="00FB7A4F"/>
    <w:rsid w:val="00FC09DC"/>
    <w:rsid w:val="00FC1A80"/>
    <w:rsid w:val="00FD34F1"/>
    <w:rsid w:val="00FD5BA3"/>
    <w:rsid w:val="00FD6981"/>
    <w:rsid w:val="00FD7E8E"/>
    <w:rsid w:val="00FE3548"/>
    <w:rsid w:val="00FE368F"/>
    <w:rsid w:val="00FF6E5B"/>
    <w:rsid w:val="01880300"/>
    <w:rsid w:val="01D1079F"/>
    <w:rsid w:val="02A30141"/>
    <w:rsid w:val="02CD7D29"/>
    <w:rsid w:val="02E81E8B"/>
    <w:rsid w:val="02F70677"/>
    <w:rsid w:val="03B062B6"/>
    <w:rsid w:val="03D3378A"/>
    <w:rsid w:val="03D60B32"/>
    <w:rsid w:val="0438316B"/>
    <w:rsid w:val="045624DF"/>
    <w:rsid w:val="04AB36DF"/>
    <w:rsid w:val="05D42E95"/>
    <w:rsid w:val="082D414A"/>
    <w:rsid w:val="08386C7C"/>
    <w:rsid w:val="0937403C"/>
    <w:rsid w:val="09D73483"/>
    <w:rsid w:val="0AEE29F6"/>
    <w:rsid w:val="0B7602FE"/>
    <w:rsid w:val="0BFF2DDE"/>
    <w:rsid w:val="0CFA478C"/>
    <w:rsid w:val="0D645FC8"/>
    <w:rsid w:val="0D6C7152"/>
    <w:rsid w:val="0DF77160"/>
    <w:rsid w:val="0ED7438B"/>
    <w:rsid w:val="0ED91C59"/>
    <w:rsid w:val="0F276BC6"/>
    <w:rsid w:val="0F5A54BC"/>
    <w:rsid w:val="11217D3C"/>
    <w:rsid w:val="1176592D"/>
    <w:rsid w:val="11A009D7"/>
    <w:rsid w:val="11C369C4"/>
    <w:rsid w:val="12C96C4F"/>
    <w:rsid w:val="131836DC"/>
    <w:rsid w:val="13953DBE"/>
    <w:rsid w:val="13EE11A5"/>
    <w:rsid w:val="14955D71"/>
    <w:rsid w:val="149677AB"/>
    <w:rsid w:val="14AF4C65"/>
    <w:rsid w:val="15CC5506"/>
    <w:rsid w:val="16140548"/>
    <w:rsid w:val="16621091"/>
    <w:rsid w:val="177D25A0"/>
    <w:rsid w:val="17EF206B"/>
    <w:rsid w:val="196E75D9"/>
    <w:rsid w:val="19BE6EE2"/>
    <w:rsid w:val="1AA461F4"/>
    <w:rsid w:val="1AEF403C"/>
    <w:rsid w:val="1B974FD4"/>
    <w:rsid w:val="1BBD0139"/>
    <w:rsid w:val="1C405B5C"/>
    <w:rsid w:val="1C550ED0"/>
    <w:rsid w:val="1D161D1E"/>
    <w:rsid w:val="1D237267"/>
    <w:rsid w:val="1D7D0CFA"/>
    <w:rsid w:val="1E2B40C6"/>
    <w:rsid w:val="1E6C3A27"/>
    <w:rsid w:val="1F7C173F"/>
    <w:rsid w:val="20D37734"/>
    <w:rsid w:val="20DF7BC0"/>
    <w:rsid w:val="20F67F19"/>
    <w:rsid w:val="22810917"/>
    <w:rsid w:val="22854040"/>
    <w:rsid w:val="22876197"/>
    <w:rsid w:val="22F64721"/>
    <w:rsid w:val="2446246D"/>
    <w:rsid w:val="247F2143"/>
    <w:rsid w:val="249B0CDB"/>
    <w:rsid w:val="260D1119"/>
    <w:rsid w:val="26353E84"/>
    <w:rsid w:val="266D375C"/>
    <w:rsid w:val="278B0436"/>
    <w:rsid w:val="279F4EF9"/>
    <w:rsid w:val="28D469D9"/>
    <w:rsid w:val="28D946DC"/>
    <w:rsid w:val="291D1652"/>
    <w:rsid w:val="29726580"/>
    <w:rsid w:val="2A347FA6"/>
    <w:rsid w:val="2A4F20F6"/>
    <w:rsid w:val="2A8D23E1"/>
    <w:rsid w:val="2AA42AF7"/>
    <w:rsid w:val="2C0D5177"/>
    <w:rsid w:val="2C7A582A"/>
    <w:rsid w:val="2CEE322A"/>
    <w:rsid w:val="2D366CEA"/>
    <w:rsid w:val="2E8E759D"/>
    <w:rsid w:val="2E9F0F25"/>
    <w:rsid w:val="2EBF4B5C"/>
    <w:rsid w:val="309D4BC2"/>
    <w:rsid w:val="31326E84"/>
    <w:rsid w:val="315723C9"/>
    <w:rsid w:val="32D60F7D"/>
    <w:rsid w:val="33103761"/>
    <w:rsid w:val="332D4165"/>
    <w:rsid w:val="33653317"/>
    <w:rsid w:val="33AB35DC"/>
    <w:rsid w:val="34312E31"/>
    <w:rsid w:val="348A0F74"/>
    <w:rsid w:val="348E41DB"/>
    <w:rsid w:val="349449E3"/>
    <w:rsid w:val="34BE389B"/>
    <w:rsid w:val="34D44C47"/>
    <w:rsid w:val="351E611F"/>
    <w:rsid w:val="352B7DFA"/>
    <w:rsid w:val="35D677AC"/>
    <w:rsid w:val="36CD3E00"/>
    <w:rsid w:val="379D6AA5"/>
    <w:rsid w:val="37E0225E"/>
    <w:rsid w:val="37FF6DDF"/>
    <w:rsid w:val="38303773"/>
    <w:rsid w:val="38AA565C"/>
    <w:rsid w:val="3A060120"/>
    <w:rsid w:val="3A6A677A"/>
    <w:rsid w:val="3AD55B35"/>
    <w:rsid w:val="3B0E5C65"/>
    <w:rsid w:val="3B2900A6"/>
    <w:rsid w:val="3B4624C4"/>
    <w:rsid w:val="3B8E4DE3"/>
    <w:rsid w:val="3BB46579"/>
    <w:rsid w:val="3BC94390"/>
    <w:rsid w:val="3C6843BB"/>
    <w:rsid w:val="3C763331"/>
    <w:rsid w:val="3D67321D"/>
    <w:rsid w:val="3E330F6F"/>
    <w:rsid w:val="3E471A36"/>
    <w:rsid w:val="3E681A09"/>
    <w:rsid w:val="3E721506"/>
    <w:rsid w:val="3EB70774"/>
    <w:rsid w:val="3EFC39DC"/>
    <w:rsid w:val="3F651316"/>
    <w:rsid w:val="3FC06E8D"/>
    <w:rsid w:val="4035694E"/>
    <w:rsid w:val="4138555D"/>
    <w:rsid w:val="418F5E10"/>
    <w:rsid w:val="42284096"/>
    <w:rsid w:val="42711BB0"/>
    <w:rsid w:val="442A5EB4"/>
    <w:rsid w:val="446F1BE2"/>
    <w:rsid w:val="44EA2961"/>
    <w:rsid w:val="45B175BC"/>
    <w:rsid w:val="46562B54"/>
    <w:rsid w:val="468703F2"/>
    <w:rsid w:val="46BE2944"/>
    <w:rsid w:val="47937687"/>
    <w:rsid w:val="47BE5D70"/>
    <w:rsid w:val="47EE4ABD"/>
    <w:rsid w:val="487F2F94"/>
    <w:rsid w:val="49114385"/>
    <w:rsid w:val="49D53BC6"/>
    <w:rsid w:val="4A805A40"/>
    <w:rsid w:val="4ACF7DC7"/>
    <w:rsid w:val="4AE605A6"/>
    <w:rsid w:val="4C2E7472"/>
    <w:rsid w:val="4C83061B"/>
    <w:rsid w:val="4D4D3733"/>
    <w:rsid w:val="4D64226B"/>
    <w:rsid w:val="4D8350FF"/>
    <w:rsid w:val="4DE02B39"/>
    <w:rsid w:val="4E272EDC"/>
    <w:rsid w:val="4E840454"/>
    <w:rsid w:val="4E8C2E15"/>
    <w:rsid w:val="4FFE70D1"/>
    <w:rsid w:val="505B61BB"/>
    <w:rsid w:val="52027025"/>
    <w:rsid w:val="52270401"/>
    <w:rsid w:val="535108E6"/>
    <w:rsid w:val="53BA40AD"/>
    <w:rsid w:val="53E23F0D"/>
    <w:rsid w:val="54A8369E"/>
    <w:rsid w:val="55723120"/>
    <w:rsid w:val="559B1CFC"/>
    <w:rsid w:val="560366F7"/>
    <w:rsid w:val="56251082"/>
    <w:rsid w:val="562553FC"/>
    <w:rsid w:val="567F144E"/>
    <w:rsid w:val="57923C5A"/>
    <w:rsid w:val="57F52DC3"/>
    <w:rsid w:val="582A077E"/>
    <w:rsid w:val="58AF081D"/>
    <w:rsid w:val="59DA7130"/>
    <w:rsid w:val="5ABE763F"/>
    <w:rsid w:val="5AD52441"/>
    <w:rsid w:val="5B01087E"/>
    <w:rsid w:val="5B0E531B"/>
    <w:rsid w:val="5B2C3289"/>
    <w:rsid w:val="5BBA2B10"/>
    <w:rsid w:val="5BFC3A2D"/>
    <w:rsid w:val="5C7A339C"/>
    <w:rsid w:val="5D3F175B"/>
    <w:rsid w:val="5D4E29B7"/>
    <w:rsid w:val="5DBC5950"/>
    <w:rsid w:val="5E696499"/>
    <w:rsid w:val="5ED96D8E"/>
    <w:rsid w:val="5FEF4FC5"/>
    <w:rsid w:val="602405AC"/>
    <w:rsid w:val="6030318C"/>
    <w:rsid w:val="60D12CDE"/>
    <w:rsid w:val="61520E40"/>
    <w:rsid w:val="61B0509B"/>
    <w:rsid w:val="61DC3700"/>
    <w:rsid w:val="61F4743E"/>
    <w:rsid w:val="623648DF"/>
    <w:rsid w:val="629759BD"/>
    <w:rsid w:val="62C81FDC"/>
    <w:rsid w:val="62CA2219"/>
    <w:rsid w:val="647D5D94"/>
    <w:rsid w:val="64FF03F6"/>
    <w:rsid w:val="652E513F"/>
    <w:rsid w:val="65486144"/>
    <w:rsid w:val="654E359B"/>
    <w:rsid w:val="65950088"/>
    <w:rsid w:val="65E85A4C"/>
    <w:rsid w:val="67211F27"/>
    <w:rsid w:val="676B66A4"/>
    <w:rsid w:val="67B42DA1"/>
    <w:rsid w:val="693925EA"/>
    <w:rsid w:val="69452FB9"/>
    <w:rsid w:val="69FF3CF6"/>
    <w:rsid w:val="6A993EBD"/>
    <w:rsid w:val="6AC91374"/>
    <w:rsid w:val="6AD12F4C"/>
    <w:rsid w:val="6B717832"/>
    <w:rsid w:val="6B7F6F6E"/>
    <w:rsid w:val="6C600C0B"/>
    <w:rsid w:val="6C825535"/>
    <w:rsid w:val="6D3F0E8A"/>
    <w:rsid w:val="6D681C63"/>
    <w:rsid w:val="6E1B2835"/>
    <w:rsid w:val="6FB80960"/>
    <w:rsid w:val="6FFC17BF"/>
    <w:rsid w:val="70115C8E"/>
    <w:rsid w:val="71823B4A"/>
    <w:rsid w:val="71BA0B3C"/>
    <w:rsid w:val="71F0169D"/>
    <w:rsid w:val="724A626F"/>
    <w:rsid w:val="729A5F00"/>
    <w:rsid w:val="72FA6D73"/>
    <w:rsid w:val="7363502C"/>
    <w:rsid w:val="73A74064"/>
    <w:rsid w:val="73C416ED"/>
    <w:rsid w:val="74B56185"/>
    <w:rsid w:val="75D150D5"/>
    <w:rsid w:val="760731B4"/>
    <w:rsid w:val="762A7760"/>
    <w:rsid w:val="76325CCA"/>
    <w:rsid w:val="76870C4E"/>
    <w:rsid w:val="77A70BB1"/>
    <w:rsid w:val="78A708E7"/>
    <w:rsid w:val="794D1B9B"/>
    <w:rsid w:val="79811437"/>
    <w:rsid w:val="79AF682F"/>
    <w:rsid w:val="7A765836"/>
    <w:rsid w:val="7B274972"/>
    <w:rsid w:val="7B3118CE"/>
    <w:rsid w:val="7C555607"/>
    <w:rsid w:val="7C763FF2"/>
    <w:rsid w:val="7C847892"/>
    <w:rsid w:val="7E10510E"/>
    <w:rsid w:val="7E284C35"/>
    <w:rsid w:val="7E456367"/>
    <w:rsid w:val="7EE77B9A"/>
    <w:rsid w:val="7F58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before="50" w:beforeLines="50" w:after="50" w:afterLines="50" w:line="360" w:lineRule="auto"/>
    </w:pPr>
    <w:rPr>
      <w:rFonts w:ascii="Tahoma" w:hAnsi="Tahoma" w:eastAsia="宋体" w:cstheme="minorBidi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/>
      <w:outlineLvl w:val="0"/>
    </w:pPr>
    <w:rPr>
      <w:rFonts w:ascii="宋体" w:hAnsi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300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300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adjustRightInd/>
      <w:snapToGrid/>
      <w:spacing w:after="100" w:line="259" w:lineRule="auto"/>
      <w:ind w:left="440"/>
    </w:pPr>
    <w:rPr>
      <w:rFonts w:cs="Times New Roman" w:asciiTheme="minorHAnsi" w:hAnsiTheme="minorHAnsi"/>
      <w:sz w:val="22"/>
    </w:rPr>
  </w:style>
  <w:style w:type="paragraph" w:styleId="6">
    <w:name w:val="Date"/>
    <w:basedOn w:val="1"/>
    <w:next w:val="1"/>
    <w:link w:val="22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adjustRightInd/>
      <w:snapToGrid/>
      <w:spacing w:after="100" w:line="259" w:lineRule="auto"/>
    </w:pPr>
    <w:rPr>
      <w:rFonts w:cs="Times New Roman" w:asciiTheme="minorHAnsi" w:hAnsiTheme="minorHAnsi"/>
      <w:sz w:val="22"/>
    </w:rPr>
  </w:style>
  <w:style w:type="paragraph" w:styleId="11">
    <w:name w:val="toc 2"/>
    <w:basedOn w:val="1"/>
    <w:next w:val="1"/>
    <w:unhideWhenUsed/>
    <w:qFormat/>
    <w:uiPriority w:val="39"/>
    <w:pPr>
      <w:adjustRightInd/>
      <w:snapToGrid/>
      <w:spacing w:after="100" w:line="259" w:lineRule="auto"/>
      <w:ind w:left="220"/>
    </w:pPr>
    <w:rPr>
      <w:rFonts w:cs="Times New Roman" w:asciiTheme="minorHAnsi" w:hAnsiTheme="minorHAnsi"/>
      <w:sz w:val="22"/>
    </w:rPr>
  </w:style>
  <w:style w:type="table" w:styleId="13">
    <w:name w:val="Table Grid"/>
    <w:basedOn w:val="12"/>
    <w:unhideWhenUsed/>
    <w:qFormat/>
    <w:uiPriority w:val="59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Char"/>
    <w:basedOn w:val="14"/>
    <w:link w:val="2"/>
    <w:qFormat/>
    <w:uiPriority w:val="9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17">
    <w:name w:val="标题 2 Char"/>
    <w:basedOn w:val="14"/>
    <w:link w:val="3"/>
    <w:qFormat/>
    <w:uiPriority w:val="9"/>
    <w:rPr>
      <w:rFonts w:eastAsia="宋体" w:asciiTheme="majorHAnsi" w:hAnsiTheme="majorHAnsi" w:cstheme="majorBidi"/>
      <w:b/>
      <w:bCs/>
      <w:kern w:val="0"/>
      <w:sz w:val="32"/>
      <w:szCs w:val="32"/>
    </w:rPr>
  </w:style>
  <w:style w:type="character" w:customStyle="1" w:styleId="18">
    <w:name w:val="标题 3 Char"/>
    <w:basedOn w:val="14"/>
    <w:link w:val="4"/>
    <w:qFormat/>
    <w:uiPriority w:val="9"/>
    <w:rPr>
      <w:rFonts w:ascii="Tahoma" w:hAnsi="Tahoma" w:eastAsia="宋体"/>
      <w:b/>
      <w:bCs/>
      <w:kern w:val="0"/>
      <w:sz w:val="32"/>
      <w:szCs w:val="32"/>
    </w:rPr>
  </w:style>
  <w:style w:type="character" w:customStyle="1" w:styleId="19">
    <w:name w:val="页眉 Char"/>
    <w:basedOn w:val="14"/>
    <w:link w:val="9"/>
    <w:qFormat/>
    <w:uiPriority w:val="99"/>
    <w:rPr>
      <w:rFonts w:ascii="Tahoma" w:hAnsi="Tahoma"/>
      <w:kern w:val="0"/>
      <w:sz w:val="18"/>
      <w:szCs w:val="18"/>
    </w:rPr>
  </w:style>
  <w:style w:type="character" w:customStyle="1" w:styleId="20">
    <w:name w:val="页脚 Char"/>
    <w:basedOn w:val="14"/>
    <w:link w:val="8"/>
    <w:qFormat/>
    <w:uiPriority w:val="99"/>
    <w:rPr>
      <w:rFonts w:ascii="Tahoma" w:hAnsi="Tahoma"/>
      <w:kern w:val="0"/>
      <w:sz w:val="18"/>
      <w:szCs w:val="18"/>
    </w:rPr>
  </w:style>
  <w:style w:type="paragraph" w:customStyle="1" w:styleId="21">
    <w:name w:val="TOC 标题1"/>
    <w:basedOn w:val="2"/>
    <w:next w:val="1"/>
    <w:unhideWhenUsed/>
    <w:qFormat/>
    <w:uiPriority w:val="39"/>
    <w:pPr>
      <w:adjustRightInd/>
      <w:snapToGrid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2">
    <w:name w:val="日期 Char"/>
    <w:basedOn w:val="14"/>
    <w:link w:val="6"/>
    <w:semiHidden/>
    <w:qFormat/>
    <w:uiPriority w:val="99"/>
    <w:rPr>
      <w:rFonts w:ascii="Tahoma" w:hAnsi="Tahoma" w:eastAsia="宋体"/>
      <w:kern w:val="0"/>
      <w:sz w:val="24"/>
    </w:rPr>
  </w:style>
  <w:style w:type="character" w:customStyle="1" w:styleId="23">
    <w:name w:val="批注框文本 Char"/>
    <w:basedOn w:val="14"/>
    <w:link w:val="7"/>
    <w:semiHidden/>
    <w:qFormat/>
    <w:uiPriority w:val="99"/>
    <w:rPr>
      <w:rFonts w:ascii="Tahoma" w:hAnsi="Tahoma" w:eastAsia="宋体"/>
      <w:kern w:val="0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6" Type="http://schemas.openxmlformats.org/officeDocument/2006/relationships/fontTable" Target="fontTable.xml"/><Relationship Id="rId85" Type="http://schemas.openxmlformats.org/officeDocument/2006/relationships/customXml" Target="../customXml/item1.xml"/><Relationship Id="rId84" Type="http://schemas.openxmlformats.org/officeDocument/2006/relationships/numbering" Target="numbering.xml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jpe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0CFAD-CC80-4619-B703-FB9611BC5B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4109</Words>
  <Characters>4744</Characters>
  <Lines>48</Lines>
  <Paragraphs>13</Paragraphs>
  <TotalTime>1088</TotalTime>
  <ScaleCrop>false</ScaleCrop>
  <LinksUpToDate>false</LinksUpToDate>
  <CharactersWithSpaces>4909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2019-09-09T13:44:00Z</dcterms:created>
  <dc:creator>lenovo</dc:creator>
  <cp:lastModifiedBy>成</cp:lastModifiedBy>
  <dcterms:modified xsi:type="dcterms:W3CDTF">2023-08-09T07:30:52Z</dcterms:modified>
  <cp:revision>331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3658B8B191C8425A8DF53A31AFA5B534_12</vt:lpwstr>
  </property>
</Properties>
</file>